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175A5" w14:textId="77777777" w:rsidR="00815D0C" w:rsidRPr="00815D0C" w:rsidRDefault="00815D0C" w:rsidP="00815D0C">
      <w:pPr>
        <w:shd w:val="clear" w:color="auto" w:fill="FFFFFF"/>
        <w:spacing w:before="225" w:after="225" w:line="600" w:lineRule="atLeast"/>
        <w:jc w:val="both"/>
        <w:outlineLvl w:val="1"/>
        <w:rPr>
          <w:rFonts w:ascii="Open Sans" w:eastAsia="Times New Roman" w:hAnsi="Open Sans" w:cs="Open Sans"/>
          <w:color w:val="444444"/>
          <w:kern w:val="0"/>
          <w:sz w:val="48"/>
          <w:szCs w:val="48"/>
          <w:lang w:eastAsia="ru-RU"/>
          <w14:ligatures w14:val="none"/>
        </w:rPr>
      </w:pPr>
      <w:r w:rsidRPr="00815D0C">
        <w:rPr>
          <w:rFonts w:ascii="Open Sans" w:eastAsia="Times New Roman" w:hAnsi="Open Sans" w:cs="Open Sans"/>
          <w:color w:val="444444"/>
          <w:kern w:val="0"/>
          <w:sz w:val="48"/>
          <w:szCs w:val="48"/>
          <w:lang w:eastAsia="ru-RU"/>
          <w14:ligatures w14:val="none"/>
        </w:rPr>
        <w:t>ОБЩИЕ ВОПРОСЫ НЕРАЗРУШАЮЩЕГО КОНТРОЛЯ</w:t>
      </w:r>
    </w:p>
    <w:p w14:paraId="17CADF22" w14:textId="77777777" w:rsidR="00815D0C" w:rsidRPr="00815D0C" w:rsidRDefault="00815D0C" w:rsidP="00815D0C">
      <w:pPr>
        <w:shd w:val="clear" w:color="auto" w:fill="FFFFFF"/>
        <w:spacing w:before="225" w:after="225" w:line="360" w:lineRule="atLeast"/>
        <w:jc w:val="both"/>
        <w:outlineLvl w:val="3"/>
        <w:rPr>
          <w:rFonts w:ascii="Open Sans" w:eastAsia="Times New Roman" w:hAnsi="Open Sans" w:cs="Open Sans"/>
          <w:color w:val="444444"/>
          <w:kern w:val="0"/>
          <w:sz w:val="27"/>
          <w:szCs w:val="27"/>
          <w:lang w:eastAsia="ru-RU"/>
          <w14:ligatures w14:val="none"/>
        </w:rPr>
      </w:pPr>
      <w:r w:rsidRPr="00815D0C">
        <w:rPr>
          <w:rFonts w:ascii="Open Sans" w:eastAsia="Times New Roman" w:hAnsi="Open Sans" w:cs="Open Sans"/>
          <w:color w:val="444444"/>
          <w:kern w:val="0"/>
          <w:sz w:val="27"/>
          <w:szCs w:val="27"/>
          <w:lang w:eastAsia="ru-RU"/>
          <w14:ligatures w14:val="none"/>
        </w:rPr>
        <w:t>Глава 1 КАЧЕСТВО  И КОНТРОЛЬ КАЧЕСТВА ПРОДУКЦИИ</w:t>
      </w:r>
    </w:p>
    <w:p w14:paraId="5CDEEAED" w14:textId="77777777" w:rsidR="00815D0C" w:rsidRPr="00815D0C" w:rsidRDefault="00815D0C" w:rsidP="00815D0C">
      <w:pPr>
        <w:shd w:val="clear" w:color="auto" w:fill="FFFFFF"/>
        <w:spacing w:before="225" w:after="225" w:line="360" w:lineRule="atLeast"/>
        <w:jc w:val="both"/>
        <w:outlineLvl w:val="3"/>
        <w:rPr>
          <w:rFonts w:ascii="Open Sans" w:eastAsia="Times New Roman" w:hAnsi="Open Sans" w:cs="Open Sans"/>
          <w:color w:val="444444"/>
          <w:kern w:val="0"/>
          <w:sz w:val="27"/>
          <w:szCs w:val="27"/>
          <w:lang w:eastAsia="ru-RU"/>
          <w14:ligatures w14:val="none"/>
        </w:rPr>
      </w:pPr>
      <w:r w:rsidRPr="00815D0C">
        <w:rPr>
          <w:rFonts w:ascii="Open Sans" w:eastAsia="Times New Roman" w:hAnsi="Open Sans" w:cs="Open Sans"/>
          <w:color w:val="444444"/>
          <w:kern w:val="0"/>
          <w:sz w:val="27"/>
          <w:szCs w:val="27"/>
          <w:lang w:eastAsia="ru-RU"/>
          <w14:ligatures w14:val="none"/>
        </w:rPr>
        <w:t>§ 1.1 Продукция и качество продукции</w:t>
      </w:r>
    </w:p>
    <w:p w14:paraId="6EE75C30" w14:textId="77777777" w:rsidR="00815D0C" w:rsidRPr="00815D0C" w:rsidRDefault="00815D0C" w:rsidP="00815D0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815D0C">
        <w:rPr>
          <w:rFonts w:ascii="Open Sans" w:eastAsia="Times New Roman" w:hAnsi="Open Sans" w:cs="Open Sans"/>
          <w:color w:val="444444"/>
          <w:kern w:val="0"/>
          <w:sz w:val="21"/>
          <w:szCs w:val="21"/>
          <w:lang w:eastAsia="ru-RU"/>
          <w14:ligatures w14:val="none"/>
        </w:rPr>
        <w:t>Продукция — это результат труда, полученный в определенном месте за определенное время и предназначенный для использования потребителями в целях удовлетворения их материальных или духовных потребностей [20].</w:t>
      </w:r>
      <w:r w:rsidRPr="00815D0C">
        <w:rPr>
          <w:rFonts w:ascii="Open Sans" w:eastAsia="Times New Roman" w:hAnsi="Open Sans" w:cs="Open Sans"/>
          <w:color w:val="444444"/>
          <w:kern w:val="0"/>
          <w:sz w:val="21"/>
          <w:szCs w:val="21"/>
          <w:lang w:eastAsia="ru-RU"/>
          <w14:ligatures w14:val="none"/>
        </w:rPr>
        <w:br/>
        <w:t>Далее рассматривается только овеществленная промышленная продукция. В соответствии с ГОСТ 15895-77 промышленную продукцию разделяют на изделия и продукт. Изделия — это промышленная продукция, количество которой может быть охарактеризовано дискретной величиной, исчисляемой в штуках или экземплярах. Промышленную нештучную продукцию, а также штучную сельскохозяйственную продукцию относят к продуктам. Так, металлические шары — это изделия, а арбузы — это продукт; генераторы электроэнергии — изделия, генерируемая энергия — продукт.</w:t>
      </w:r>
      <w:r w:rsidRPr="00815D0C">
        <w:rPr>
          <w:rFonts w:ascii="Open Sans" w:eastAsia="Times New Roman" w:hAnsi="Open Sans" w:cs="Open Sans"/>
          <w:color w:val="444444"/>
          <w:kern w:val="0"/>
          <w:sz w:val="21"/>
          <w:szCs w:val="21"/>
          <w:lang w:eastAsia="ru-RU"/>
          <w14:ligatures w14:val="none"/>
        </w:rPr>
        <w:br/>
        <w:t>Продукцию используют путем ее эксплуатации или потребления. В процессе эксплуатации изделий расходуется их ресурс. Продукты, а также изделия, которые потребляют, расходуются. Например, эксплуатируют генераторы, но потребляют электроэнергию; эксплуатируют колеса телеги при перевозе грузов, но потребляют изношенные колеса при сжигании их, например, в печи.</w:t>
      </w:r>
      <w:r w:rsidRPr="00815D0C">
        <w:rPr>
          <w:rFonts w:ascii="Open Sans" w:eastAsia="Times New Roman" w:hAnsi="Open Sans" w:cs="Open Sans"/>
          <w:color w:val="444444"/>
          <w:kern w:val="0"/>
          <w:sz w:val="21"/>
          <w:szCs w:val="21"/>
          <w:lang w:eastAsia="ru-RU"/>
          <w14:ligatures w14:val="none"/>
        </w:rPr>
        <w:br/>
        <w:t>Любой продукции присущи объективные свойства, особенности, проявляющиеся при ее создании, эксплуатации или потреблении. Совокупность свойств, обусловливающую пригодность продукции удовлетворять определенные потребности в соответствии с ее назначением, называют качеством продукции. При этом свойства продукции, не связанные с ее назначением, считаются не влияющими на ее качество.</w:t>
      </w:r>
    </w:p>
    <w:p w14:paraId="3CC89253" w14:textId="4EE05373" w:rsidR="00815D0C" w:rsidRPr="00815D0C" w:rsidRDefault="00815D0C" w:rsidP="00815D0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815D0C">
        <w:rPr>
          <w:rFonts w:ascii="Open Sans" w:eastAsia="Times New Roman" w:hAnsi="Open Sans" w:cs="Open Sans"/>
          <w:color w:val="444444"/>
          <w:kern w:val="0"/>
          <w:sz w:val="21"/>
          <w:szCs w:val="21"/>
          <w:lang w:eastAsia="ru-RU"/>
          <w14:ligatures w14:val="none"/>
        </w:rPr>
        <w:t> Для количественной характеристики качества продукции используют показатели качества. Единичный показатель качества продукции характеризует количественно одно из ее свойств, комплексный показатель качества — несколько свойств продукции, входящих в ее качество. Интегральный показатель качества </w:t>
      </w:r>
      <w:r w:rsidRPr="00815D0C">
        <w:rPr>
          <w:rFonts w:ascii="Open Sans" w:eastAsia="Times New Roman" w:hAnsi="Open Sans" w:cs="Open Sans"/>
          <w:i/>
          <w:iCs/>
          <w:color w:val="DD0055"/>
          <w:kern w:val="0"/>
          <w:sz w:val="21"/>
          <w:szCs w:val="21"/>
          <w:lang w:eastAsia="ru-RU"/>
          <w14:ligatures w14:val="none"/>
        </w:rPr>
        <w:t>Q </w:t>
      </w:r>
      <w:r w:rsidRPr="00815D0C">
        <w:rPr>
          <w:rFonts w:ascii="Open Sans" w:eastAsia="Times New Roman" w:hAnsi="Open Sans" w:cs="Open Sans"/>
          <w:color w:val="444444"/>
          <w:kern w:val="0"/>
          <w:sz w:val="21"/>
          <w:szCs w:val="21"/>
          <w:lang w:eastAsia="ru-RU"/>
          <w14:ligatures w14:val="none"/>
        </w:rPr>
        <w:t>продукции есть соотношение суммарного полезного эффекта </w:t>
      </w:r>
      <w:r w:rsidRPr="00815D0C">
        <w:rPr>
          <w:rFonts w:ascii="Open Sans" w:eastAsia="Times New Roman" w:hAnsi="Open Sans" w:cs="Open Sans"/>
          <w:i/>
          <w:iCs/>
          <w:color w:val="DD0055"/>
          <w:kern w:val="0"/>
          <w:sz w:val="21"/>
          <w:szCs w:val="21"/>
          <w:lang w:eastAsia="ru-RU"/>
          <w14:ligatures w14:val="none"/>
        </w:rPr>
        <w:t>G</w:t>
      </w:r>
      <w:r w:rsidRPr="00815D0C">
        <w:rPr>
          <w:rFonts w:ascii="Open Sans" w:eastAsia="Times New Roman" w:hAnsi="Open Sans" w:cs="Open Sans"/>
          <w:color w:val="444444"/>
          <w:kern w:val="0"/>
          <w:sz w:val="21"/>
          <w:szCs w:val="21"/>
          <w:lang w:eastAsia="ru-RU"/>
          <w14:ligatures w14:val="none"/>
        </w:rPr>
        <w:t> от эксплуатации или потребления продукции к суммарным затратам </w:t>
      </w:r>
      <w:r w:rsidRPr="00815D0C">
        <w:rPr>
          <w:rFonts w:ascii="Open Sans" w:eastAsia="Times New Roman" w:hAnsi="Open Sans" w:cs="Open Sans"/>
          <w:i/>
          <w:iCs/>
          <w:color w:val="DD0055"/>
          <w:kern w:val="0"/>
          <w:sz w:val="21"/>
          <w:szCs w:val="21"/>
          <w:lang w:eastAsia="ru-RU"/>
          <w14:ligatures w14:val="none"/>
        </w:rPr>
        <w:t>ЭΣ</w:t>
      </w:r>
      <w:r w:rsidRPr="00815D0C">
        <w:rPr>
          <w:rFonts w:ascii="Open Sans" w:eastAsia="Times New Roman" w:hAnsi="Open Sans" w:cs="Open Sans"/>
          <w:color w:val="444444"/>
          <w:kern w:val="0"/>
          <w:sz w:val="21"/>
          <w:szCs w:val="21"/>
          <w:lang w:eastAsia="ru-RU"/>
          <w14:ligatures w14:val="none"/>
        </w:rPr>
        <w:t>, благодаря которым достигнут этот эффект:</w:t>
      </w:r>
      <w:r w:rsidRPr="00815D0C">
        <w:rPr>
          <w:rFonts w:ascii="Open Sans" w:eastAsia="Times New Roman" w:hAnsi="Open Sans" w:cs="Open Sans"/>
          <w:color w:val="444444"/>
          <w:kern w:val="0"/>
          <w:sz w:val="21"/>
          <w:szCs w:val="21"/>
          <w:lang w:eastAsia="ru-RU"/>
          <w14:ligatures w14:val="none"/>
        </w:rPr>
        <w:br/>
      </w:r>
      <w:r w:rsidRPr="00815D0C">
        <w:rPr>
          <w:rFonts w:ascii="Open Sans" w:eastAsia="Times New Roman" w:hAnsi="Open Sans" w:cs="Open Sans"/>
          <w:i/>
          <w:iCs/>
          <w:noProof/>
          <w:color w:val="DD0055"/>
          <w:kern w:val="0"/>
          <w:sz w:val="21"/>
          <w:szCs w:val="21"/>
          <w:lang w:eastAsia="ru-RU"/>
          <w14:ligatures w14:val="none"/>
        </w:rPr>
        <w:drawing>
          <wp:inline distT="0" distB="0" distL="0" distR="0" wp14:anchorId="7CDB229C" wp14:editId="208FFCC2">
            <wp:extent cx="716280" cy="220980"/>
            <wp:effectExtent l="0" t="0" r="7620" b="7620"/>
            <wp:docPr id="168623688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16280" cy="220980"/>
                    </a:xfrm>
                    <a:prstGeom prst="rect">
                      <a:avLst/>
                    </a:prstGeom>
                    <a:noFill/>
                    <a:ln>
                      <a:noFill/>
                    </a:ln>
                  </pic:spPr>
                </pic:pic>
              </a:graphicData>
            </a:graphic>
          </wp:inline>
        </w:drawing>
      </w:r>
      <w:r w:rsidRPr="00815D0C">
        <w:rPr>
          <w:rFonts w:ascii="Open Sans" w:eastAsia="Times New Roman" w:hAnsi="Open Sans" w:cs="Open Sans"/>
          <w:color w:val="444444"/>
          <w:kern w:val="0"/>
          <w:sz w:val="21"/>
          <w:szCs w:val="21"/>
          <w:lang w:eastAsia="ru-RU"/>
          <w14:ligatures w14:val="none"/>
        </w:rPr>
        <w:t>                                                              (1.1)</w:t>
      </w:r>
      <w:r w:rsidRPr="00815D0C">
        <w:rPr>
          <w:rFonts w:ascii="Open Sans" w:eastAsia="Times New Roman" w:hAnsi="Open Sans" w:cs="Open Sans"/>
          <w:color w:val="444444"/>
          <w:kern w:val="0"/>
          <w:sz w:val="21"/>
          <w:szCs w:val="21"/>
          <w:lang w:eastAsia="ru-RU"/>
          <w14:ligatures w14:val="none"/>
        </w:rPr>
        <w:br/>
        <w:t>Запись выражения (1.1) условна. Операция деления в формуле (1.1), как правило, недопустима, ибо в этом случае при весьма малом эффекте </w:t>
      </w:r>
      <w:r w:rsidRPr="00815D0C">
        <w:rPr>
          <w:rFonts w:ascii="Open Sans" w:eastAsia="Times New Roman" w:hAnsi="Open Sans" w:cs="Open Sans"/>
          <w:i/>
          <w:iCs/>
          <w:color w:val="DD0055"/>
          <w:kern w:val="0"/>
          <w:sz w:val="21"/>
          <w:szCs w:val="21"/>
          <w:lang w:eastAsia="ru-RU"/>
          <w14:ligatures w14:val="none"/>
        </w:rPr>
        <w:t>G</w:t>
      </w:r>
      <w:r w:rsidRPr="00815D0C">
        <w:rPr>
          <w:rFonts w:ascii="Open Sans" w:eastAsia="Times New Roman" w:hAnsi="Open Sans" w:cs="Open Sans"/>
          <w:color w:val="444444"/>
          <w:kern w:val="0"/>
          <w:sz w:val="21"/>
          <w:szCs w:val="21"/>
          <w:lang w:eastAsia="ru-RU"/>
          <w14:ligatures w14:val="none"/>
        </w:rPr>
        <w:t>, но при незначительных затратах </w:t>
      </w:r>
      <w:r w:rsidRPr="00815D0C">
        <w:rPr>
          <w:rFonts w:ascii="Open Sans" w:eastAsia="Times New Roman" w:hAnsi="Open Sans" w:cs="Open Sans"/>
          <w:i/>
          <w:iCs/>
          <w:color w:val="DD0055"/>
          <w:kern w:val="0"/>
          <w:sz w:val="21"/>
          <w:szCs w:val="21"/>
          <w:lang w:eastAsia="ru-RU"/>
          <w14:ligatures w14:val="none"/>
        </w:rPr>
        <w:t>ЭΣ</w:t>
      </w:r>
      <w:r w:rsidRPr="00815D0C">
        <w:rPr>
          <w:rFonts w:ascii="Open Sans" w:eastAsia="Times New Roman" w:hAnsi="Open Sans" w:cs="Open Sans"/>
          <w:color w:val="444444"/>
          <w:kern w:val="0"/>
          <w:sz w:val="21"/>
          <w:szCs w:val="21"/>
          <w:lang w:eastAsia="ru-RU"/>
          <w14:ligatures w14:val="none"/>
        </w:rPr>
        <w:t> может быть получено неоправданно большое значение </w:t>
      </w:r>
      <w:r w:rsidRPr="00815D0C">
        <w:rPr>
          <w:rFonts w:ascii="Open Sans" w:eastAsia="Times New Roman" w:hAnsi="Open Sans" w:cs="Open Sans"/>
          <w:i/>
          <w:iCs/>
          <w:color w:val="DD0055"/>
          <w:kern w:val="0"/>
          <w:sz w:val="21"/>
          <w:szCs w:val="21"/>
          <w:lang w:eastAsia="ru-RU"/>
          <w14:ligatures w14:val="none"/>
        </w:rPr>
        <w:t>Q</w:t>
      </w:r>
      <w:r w:rsidRPr="00815D0C">
        <w:rPr>
          <w:rFonts w:ascii="Open Sans" w:eastAsia="Times New Roman" w:hAnsi="Open Sans" w:cs="Open Sans"/>
          <w:color w:val="444444"/>
          <w:kern w:val="0"/>
          <w:sz w:val="21"/>
          <w:szCs w:val="21"/>
          <w:lang w:eastAsia="ru-RU"/>
          <w14:ligatures w14:val="none"/>
        </w:rPr>
        <w:t>.</w:t>
      </w:r>
      <w:r w:rsidRPr="00815D0C">
        <w:rPr>
          <w:rFonts w:ascii="Open Sans" w:eastAsia="Times New Roman" w:hAnsi="Open Sans" w:cs="Open Sans"/>
          <w:color w:val="444444"/>
          <w:kern w:val="0"/>
          <w:sz w:val="21"/>
          <w:szCs w:val="21"/>
          <w:lang w:eastAsia="ru-RU"/>
          <w14:ligatures w14:val="none"/>
        </w:rPr>
        <w:br/>
        <w:t>Ряд показателей качества не поддается измерению (цвет запах, форма, эргономические характеристики и т. п.). В этом случае каждому </w:t>
      </w:r>
      <w:r w:rsidRPr="00815D0C">
        <w:rPr>
          <w:rFonts w:ascii="Open Sans" w:eastAsia="Times New Roman" w:hAnsi="Open Sans" w:cs="Open Sans"/>
          <w:i/>
          <w:iCs/>
          <w:color w:val="DD0055"/>
          <w:kern w:val="0"/>
          <w:sz w:val="21"/>
          <w:szCs w:val="21"/>
          <w:lang w:eastAsia="ru-RU"/>
          <w14:ligatures w14:val="none"/>
        </w:rPr>
        <w:t>i</w:t>
      </w:r>
      <w:r w:rsidRPr="00815D0C">
        <w:rPr>
          <w:rFonts w:ascii="Open Sans" w:eastAsia="Times New Roman" w:hAnsi="Open Sans" w:cs="Open Sans"/>
          <w:color w:val="444444"/>
          <w:kern w:val="0"/>
          <w:sz w:val="21"/>
          <w:szCs w:val="21"/>
          <w:lang w:eastAsia="ru-RU"/>
          <w14:ligatures w14:val="none"/>
        </w:rPr>
        <w:t>-му единичному показателю методом экспертных оценок устанавливают коэффициент весомости </w:t>
      </w:r>
      <w:r w:rsidRPr="00815D0C">
        <w:rPr>
          <w:rFonts w:ascii="Open Sans" w:eastAsia="Times New Roman" w:hAnsi="Open Sans" w:cs="Open Sans"/>
          <w:i/>
          <w:iCs/>
          <w:color w:val="DD0055"/>
          <w:kern w:val="0"/>
          <w:sz w:val="21"/>
          <w:szCs w:val="21"/>
          <w:lang w:eastAsia="ru-RU"/>
          <w14:ligatures w14:val="none"/>
        </w:rPr>
        <w:t>n</w:t>
      </w:r>
      <w:r w:rsidRPr="00815D0C">
        <w:rPr>
          <w:rFonts w:ascii="Open Sans" w:eastAsia="Times New Roman" w:hAnsi="Open Sans" w:cs="Open Sans"/>
          <w:color w:val="444444"/>
          <w:kern w:val="0"/>
          <w:sz w:val="21"/>
          <w:szCs w:val="21"/>
          <w:lang w:eastAsia="ru-RU"/>
          <w14:ligatures w14:val="none"/>
        </w:rPr>
        <w:t> = 1, </w:t>
      </w:r>
      <w:r w:rsidRPr="00815D0C">
        <w:rPr>
          <w:rFonts w:ascii="Open Sans" w:eastAsia="Times New Roman" w:hAnsi="Open Sans" w:cs="Open Sans"/>
          <w:i/>
          <w:iCs/>
          <w:color w:val="DD0055"/>
          <w:kern w:val="0"/>
          <w:sz w:val="21"/>
          <w:szCs w:val="21"/>
          <w:lang w:eastAsia="ru-RU"/>
          <w14:ligatures w14:val="none"/>
        </w:rPr>
        <w:t>n</w:t>
      </w:r>
      <w:r w:rsidRPr="00815D0C">
        <w:rPr>
          <w:rFonts w:ascii="Open Sans" w:eastAsia="Times New Roman" w:hAnsi="Open Sans" w:cs="Open Sans"/>
          <w:color w:val="444444"/>
          <w:kern w:val="0"/>
          <w:sz w:val="21"/>
          <w:szCs w:val="21"/>
          <w:lang w:eastAsia="ru-RU"/>
          <w14:ligatures w14:val="none"/>
        </w:rPr>
        <w:t>0* (* Коэффициент весомости показателя качества продукции — количественная характеристика значимости данного показателя качества продукции среди других показателей ее качества.). Комплексный показатель качества </w:t>
      </w:r>
      <w:r w:rsidRPr="00815D0C">
        <w:rPr>
          <w:rFonts w:ascii="Open Sans" w:eastAsia="Times New Roman" w:hAnsi="Open Sans" w:cs="Open Sans"/>
          <w:i/>
          <w:iCs/>
          <w:color w:val="DD0055"/>
          <w:kern w:val="0"/>
          <w:sz w:val="21"/>
          <w:szCs w:val="21"/>
          <w:lang w:eastAsia="ru-RU"/>
          <w14:ligatures w14:val="none"/>
        </w:rPr>
        <w:t>G</w:t>
      </w:r>
      <w:r w:rsidRPr="00815D0C">
        <w:rPr>
          <w:rFonts w:ascii="Open Sans" w:eastAsia="Times New Roman" w:hAnsi="Open Sans" w:cs="Open Sans"/>
          <w:color w:val="444444"/>
          <w:kern w:val="0"/>
          <w:sz w:val="21"/>
          <w:szCs w:val="21"/>
          <w:lang w:eastAsia="ru-RU"/>
          <w14:ligatures w14:val="none"/>
        </w:rPr>
        <w:t>, включающий </w:t>
      </w:r>
      <w:r w:rsidRPr="00815D0C">
        <w:rPr>
          <w:rFonts w:ascii="Open Sans" w:eastAsia="Times New Roman" w:hAnsi="Open Sans" w:cs="Open Sans"/>
          <w:i/>
          <w:iCs/>
          <w:color w:val="DD0055"/>
          <w:kern w:val="0"/>
          <w:sz w:val="21"/>
          <w:szCs w:val="21"/>
          <w:lang w:eastAsia="ru-RU"/>
          <w14:ligatures w14:val="none"/>
        </w:rPr>
        <w:t>i</w:t>
      </w:r>
      <w:r w:rsidRPr="00815D0C">
        <w:rPr>
          <w:rFonts w:ascii="Open Sans" w:eastAsia="Times New Roman" w:hAnsi="Open Sans" w:cs="Open Sans"/>
          <w:color w:val="444444"/>
          <w:kern w:val="0"/>
          <w:sz w:val="21"/>
          <w:szCs w:val="21"/>
          <w:lang w:eastAsia="ru-RU"/>
          <w14:ligatures w14:val="none"/>
        </w:rPr>
        <w:t>0 единичных показателей, находят следующим образом: </w:t>
      </w:r>
      <w:r w:rsidRPr="00815D0C">
        <w:rPr>
          <w:rFonts w:ascii="Open Sans" w:eastAsia="Times New Roman" w:hAnsi="Open Sans" w:cs="Open Sans"/>
          <w:i/>
          <w:iCs/>
          <w:color w:val="DD0055"/>
          <w:kern w:val="0"/>
          <w:sz w:val="21"/>
          <w:szCs w:val="21"/>
          <w:lang w:eastAsia="ru-RU"/>
          <w14:ligatures w14:val="none"/>
        </w:rPr>
        <w:t>m</w:t>
      </w:r>
      <w:r w:rsidRPr="00815D0C">
        <w:rPr>
          <w:rFonts w:ascii="Open Sans" w:eastAsia="Times New Roman" w:hAnsi="Open Sans" w:cs="Open Sans"/>
          <w:color w:val="444444"/>
          <w:kern w:val="0"/>
          <w:sz w:val="21"/>
          <w:szCs w:val="21"/>
          <w:lang w:eastAsia="ru-RU"/>
          <w14:ligatures w14:val="none"/>
        </w:rPr>
        <w:t> экспертов оценивают в баллах </w:t>
      </w:r>
      <w:r w:rsidRPr="00815D0C">
        <w:rPr>
          <w:rFonts w:ascii="Open Sans" w:eastAsia="Times New Roman" w:hAnsi="Open Sans" w:cs="Open Sans"/>
          <w:i/>
          <w:iCs/>
          <w:color w:val="DD0055"/>
          <w:kern w:val="0"/>
          <w:sz w:val="21"/>
          <w:szCs w:val="21"/>
          <w:lang w:eastAsia="ru-RU"/>
          <w14:ligatures w14:val="none"/>
        </w:rPr>
        <w:t>j</w:t>
      </w:r>
      <w:r w:rsidRPr="00815D0C">
        <w:rPr>
          <w:rFonts w:ascii="Open Sans" w:eastAsia="Times New Roman" w:hAnsi="Open Sans" w:cs="Open Sans"/>
          <w:color w:val="444444"/>
          <w:kern w:val="0"/>
          <w:sz w:val="21"/>
          <w:szCs w:val="21"/>
          <w:lang w:eastAsia="ru-RU"/>
          <w14:ligatures w14:val="none"/>
        </w:rPr>
        <w:t> каждый единичный показатель </w:t>
      </w:r>
      <w:r w:rsidRPr="00815D0C">
        <w:rPr>
          <w:rFonts w:ascii="Open Sans" w:eastAsia="Times New Roman" w:hAnsi="Open Sans" w:cs="Open Sans"/>
          <w:i/>
          <w:iCs/>
          <w:color w:val="DD0055"/>
          <w:kern w:val="0"/>
          <w:sz w:val="21"/>
          <w:szCs w:val="21"/>
          <w:lang w:eastAsia="ru-RU"/>
          <w14:ligatures w14:val="none"/>
        </w:rPr>
        <w:t>i</w:t>
      </w:r>
      <w:r w:rsidRPr="00815D0C">
        <w:rPr>
          <w:rFonts w:ascii="Open Sans" w:eastAsia="Times New Roman" w:hAnsi="Open Sans" w:cs="Open Sans"/>
          <w:color w:val="444444"/>
          <w:kern w:val="0"/>
          <w:sz w:val="21"/>
          <w:szCs w:val="21"/>
          <w:lang w:eastAsia="ru-RU"/>
          <w14:ligatures w14:val="none"/>
        </w:rPr>
        <w:t> (</w:t>
      </w:r>
      <w:r w:rsidRPr="00815D0C">
        <w:rPr>
          <w:rFonts w:ascii="Open Sans" w:eastAsia="Times New Roman" w:hAnsi="Open Sans" w:cs="Open Sans"/>
          <w:i/>
          <w:iCs/>
          <w:color w:val="DD0055"/>
          <w:kern w:val="0"/>
          <w:sz w:val="21"/>
          <w:szCs w:val="21"/>
          <w:lang w:eastAsia="ru-RU"/>
          <w14:ligatures w14:val="none"/>
        </w:rPr>
        <w:t>j</w:t>
      </w:r>
      <w:r w:rsidRPr="00815D0C">
        <w:rPr>
          <w:rFonts w:ascii="Open Sans" w:eastAsia="Times New Roman" w:hAnsi="Open Sans" w:cs="Open Sans"/>
          <w:color w:val="444444"/>
          <w:kern w:val="0"/>
          <w:sz w:val="21"/>
          <w:szCs w:val="21"/>
          <w:lang w:eastAsia="ru-RU"/>
          <w14:ligatures w14:val="none"/>
        </w:rPr>
        <w:t> = 3 — отлично, </w:t>
      </w:r>
      <w:r w:rsidRPr="00815D0C">
        <w:rPr>
          <w:rFonts w:ascii="Open Sans" w:eastAsia="Times New Roman" w:hAnsi="Open Sans" w:cs="Open Sans"/>
          <w:i/>
          <w:iCs/>
          <w:color w:val="DD0055"/>
          <w:kern w:val="0"/>
          <w:sz w:val="21"/>
          <w:szCs w:val="21"/>
          <w:lang w:eastAsia="ru-RU"/>
          <w14:ligatures w14:val="none"/>
        </w:rPr>
        <w:t>j</w:t>
      </w:r>
      <w:r w:rsidRPr="00815D0C">
        <w:rPr>
          <w:rFonts w:ascii="Open Sans" w:eastAsia="Times New Roman" w:hAnsi="Open Sans" w:cs="Open Sans"/>
          <w:color w:val="444444"/>
          <w:kern w:val="0"/>
          <w:sz w:val="21"/>
          <w:szCs w:val="21"/>
          <w:lang w:eastAsia="ru-RU"/>
          <w14:ligatures w14:val="none"/>
        </w:rPr>
        <w:t>= 2 — хорошо, </w:t>
      </w:r>
      <w:r w:rsidRPr="00815D0C">
        <w:rPr>
          <w:rFonts w:ascii="Open Sans" w:eastAsia="Times New Roman" w:hAnsi="Open Sans" w:cs="Open Sans"/>
          <w:i/>
          <w:iCs/>
          <w:color w:val="DD0055"/>
          <w:kern w:val="0"/>
          <w:sz w:val="21"/>
          <w:szCs w:val="21"/>
          <w:lang w:eastAsia="ru-RU"/>
          <w14:ligatures w14:val="none"/>
        </w:rPr>
        <w:t>j</w:t>
      </w:r>
      <w:r w:rsidRPr="00815D0C">
        <w:rPr>
          <w:rFonts w:ascii="Open Sans" w:eastAsia="Times New Roman" w:hAnsi="Open Sans" w:cs="Open Sans"/>
          <w:color w:val="444444"/>
          <w:kern w:val="0"/>
          <w:sz w:val="21"/>
          <w:szCs w:val="21"/>
          <w:lang w:eastAsia="ru-RU"/>
          <w14:ligatures w14:val="none"/>
        </w:rPr>
        <w:t>= 1 — удовлетворительно, </w:t>
      </w:r>
      <w:r w:rsidRPr="00815D0C">
        <w:rPr>
          <w:rFonts w:ascii="Open Sans" w:eastAsia="Times New Roman" w:hAnsi="Open Sans" w:cs="Open Sans"/>
          <w:i/>
          <w:iCs/>
          <w:color w:val="DD0055"/>
          <w:kern w:val="0"/>
          <w:sz w:val="21"/>
          <w:szCs w:val="21"/>
          <w:lang w:eastAsia="ru-RU"/>
          <w14:ligatures w14:val="none"/>
        </w:rPr>
        <w:t>j</w:t>
      </w:r>
      <w:r w:rsidRPr="00815D0C">
        <w:rPr>
          <w:rFonts w:ascii="Open Sans" w:eastAsia="Times New Roman" w:hAnsi="Open Sans" w:cs="Open Sans"/>
          <w:color w:val="444444"/>
          <w:kern w:val="0"/>
          <w:sz w:val="21"/>
          <w:szCs w:val="21"/>
          <w:lang w:eastAsia="ru-RU"/>
          <w14:ligatures w14:val="none"/>
        </w:rPr>
        <w:t> = 0 — неудовлетворительно). Затем средние результаты </w:t>
      </w:r>
      <w:r w:rsidRPr="00815D0C">
        <w:rPr>
          <w:rFonts w:ascii="Open Sans" w:eastAsia="Times New Roman" w:hAnsi="Open Sans" w:cs="Open Sans"/>
          <w:i/>
          <w:iCs/>
          <w:color w:val="DD0055"/>
          <w:kern w:val="0"/>
          <w:sz w:val="21"/>
          <w:szCs w:val="21"/>
          <w:lang w:eastAsia="ru-RU"/>
          <w14:ligatures w14:val="none"/>
        </w:rPr>
        <w:t>ĵi</w:t>
      </w:r>
      <w:r w:rsidRPr="00815D0C">
        <w:rPr>
          <w:rFonts w:ascii="Open Sans" w:eastAsia="Times New Roman" w:hAnsi="Open Sans" w:cs="Open Sans"/>
          <w:color w:val="444444"/>
          <w:kern w:val="0"/>
          <w:sz w:val="21"/>
          <w:szCs w:val="21"/>
          <w:lang w:eastAsia="ru-RU"/>
          <w14:ligatures w14:val="none"/>
        </w:rPr>
        <w:t> оценки для показателя </w:t>
      </w:r>
      <w:r w:rsidRPr="00815D0C">
        <w:rPr>
          <w:rFonts w:ascii="Open Sans" w:eastAsia="Times New Roman" w:hAnsi="Open Sans" w:cs="Open Sans"/>
          <w:i/>
          <w:iCs/>
          <w:color w:val="DD0055"/>
          <w:kern w:val="0"/>
          <w:sz w:val="21"/>
          <w:szCs w:val="21"/>
          <w:lang w:eastAsia="ru-RU"/>
          <w14:ligatures w14:val="none"/>
        </w:rPr>
        <w:t>i</w:t>
      </w:r>
      <w:r w:rsidRPr="00815D0C">
        <w:rPr>
          <w:rFonts w:ascii="Open Sans" w:eastAsia="Times New Roman" w:hAnsi="Open Sans" w:cs="Open Sans"/>
          <w:color w:val="444444"/>
          <w:kern w:val="0"/>
          <w:sz w:val="21"/>
          <w:szCs w:val="21"/>
          <w:lang w:eastAsia="ru-RU"/>
          <w14:ligatures w14:val="none"/>
        </w:rPr>
        <w:t> (</w:t>
      </w:r>
      <w:r w:rsidRPr="00815D0C">
        <w:rPr>
          <w:rFonts w:ascii="Open Sans" w:eastAsia="Times New Roman" w:hAnsi="Open Sans" w:cs="Open Sans"/>
          <w:i/>
          <w:iCs/>
          <w:color w:val="DD0055"/>
          <w:kern w:val="0"/>
          <w:sz w:val="21"/>
          <w:szCs w:val="21"/>
          <w:lang w:eastAsia="ru-RU"/>
          <w14:ligatures w14:val="none"/>
        </w:rPr>
        <w:t>ĵi</w:t>
      </w:r>
      <w:r w:rsidRPr="00815D0C">
        <w:rPr>
          <w:rFonts w:ascii="Open Sans" w:eastAsia="Times New Roman" w:hAnsi="Open Sans" w:cs="Open Sans"/>
          <w:color w:val="444444"/>
          <w:kern w:val="0"/>
          <w:sz w:val="21"/>
          <w:szCs w:val="21"/>
          <w:lang w:eastAsia="ru-RU"/>
          <w14:ligatures w14:val="none"/>
        </w:rPr>
        <w:t> = Σ</w:t>
      </w:r>
      <w:r w:rsidRPr="00815D0C">
        <w:rPr>
          <w:rFonts w:ascii="Open Sans" w:eastAsia="Times New Roman" w:hAnsi="Open Sans" w:cs="Open Sans"/>
          <w:i/>
          <w:iCs/>
          <w:color w:val="DD0055"/>
          <w:kern w:val="0"/>
          <w:sz w:val="21"/>
          <w:szCs w:val="21"/>
          <w:lang w:eastAsia="ru-RU"/>
          <w14:ligatures w14:val="none"/>
        </w:rPr>
        <w:t>jim </w:t>
      </w:r>
      <w:r w:rsidRPr="00815D0C">
        <w:rPr>
          <w:rFonts w:ascii="Open Sans" w:eastAsia="Times New Roman" w:hAnsi="Open Sans" w:cs="Open Sans"/>
          <w:color w:val="444444"/>
          <w:kern w:val="0"/>
          <w:sz w:val="21"/>
          <w:szCs w:val="21"/>
          <w:lang w:eastAsia="ru-RU"/>
          <w14:ligatures w14:val="none"/>
        </w:rPr>
        <w:t xml:space="preserve">/ m0) </w:t>
      </w:r>
      <w:r w:rsidRPr="00815D0C">
        <w:rPr>
          <w:rFonts w:ascii="Open Sans" w:eastAsia="Times New Roman" w:hAnsi="Open Sans" w:cs="Open Sans"/>
          <w:color w:val="444444"/>
          <w:kern w:val="0"/>
          <w:sz w:val="21"/>
          <w:szCs w:val="21"/>
          <w:lang w:eastAsia="ru-RU"/>
          <w14:ligatures w14:val="none"/>
        </w:rPr>
        <w:lastRenderedPageBreak/>
        <w:t>умножают на соответствующий коэффициент весомости </w:t>
      </w:r>
      <w:r w:rsidRPr="00815D0C">
        <w:rPr>
          <w:rFonts w:ascii="Open Sans" w:eastAsia="Times New Roman" w:hAnsi="Open Sans" w:cs="Open Sans"/>
          <w:i/>
          <w:iCs/>
          <w:color w:val="DD0055"/>
          <w:kern w:val="0"/>
          <w:sz w:val="21"/>
          <w:szCs w:val="21"/>
          <w:lang w:eastAsia="ru-RU"/>
          <w14:ligatures w14:val="none"/>
        </w:rPr>
        <w:t>ni</w:t>
      </w:r>
      <w:r w:rsidRPr="00815D0C">
        <w:rPr>
          <w:rFonts w:ascii="Open Sans" w:eastAsia="Times New Roman" w:hAnsi="Open Sans" w:cs="Open Sans"/>
          <w:color w:val="444444"/>
          <w:kern w:val="0"/>
          <w:sz w:val="21"/>
          <w:szCs w:val="21"/>
          <w:lang w:eastAsia="ru-RU"/>
          <w14:ligatures w14:val="none"/>
        </w:rPr>
        <w:t> и произведения суммируют:</w:t>
      </w:r>
      <w:r w:rsidRPr="00815D0C">
        <w:rPr>
          <w:rFonts w:ascii="Open Sans" w:eastAsia="Times New Roman" w:hAnsi="Open Sans" w:cs="Open Sans"/>
          <w:color w:val="444444"/>
          <w:kern w:val="0"/>
          <w:sz w:val="21"/>
          <w:szCs w:val="21"/>
          <w:lang w:eastAsia="ru-RU"/>
          <w14:ligatures w14:val="none"/>
        </w:rPr>
        <w:br/>
      </w:r>
      <w:r w:rsidRPr="00815D0C">
        <w:rPr>
          <w:rFonts w:ascii="Open Sans" w:eastAsia="Times New Roman" w:hAnsi="Open Sans" w:cs="Open Sans"/>
          <w:noProof/>
          <w:color w:val="444444"/>
          <w:kern w:val="0"/>
          <w:sz w:val="21"/>
          <w:szCs w:val="21"/>
          <w:lang w:eastAsia="ru-RU"/>
          <w14:ligatures w14:val="none"/>
        </w:rPr>
        <w:drawing>
          <wp:inline distT="0" distB="0" distL="0" distR="0" wp14:anchorId="7DCBBA92" wp14:editId="7530B4AF">
            <wp:extent cx="754380" cy="449580"/>
            <wp:effectExtent l="0" t="0" r="7620" b="7620"/>
            <wp:docPr id="154533455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4380" cy="449580"/>
                    </a:xfrm>
                    <a:prstGeom prst="rect">
                      <a:avLst/>
                    </a:prstGeom>
                    <a:noFill/>
                    <a:ln>
                      <a:noFill/>
                    </a:ln>
                  </pic:spPr>
                </pic:pic>
              </a:graphicData>
            </a:graphic>
          </wp:inline>
        </w:drawing>
      </w:r>
      <w:r w:rsidRPr="00815D0C">
        <w:rPr>
          <w:rFonts w:ascii="Open Sans" w:eastAsia="Times New Roman" w:hAnsi="Open Sans" w:cs="Open Sans"/>
          <w:color w:val="444444"/>
          <w:kern w:val="0"/>
          <w:sz w:val="21"/>
          <w:szCs w:val="21"/>
          <w:lang w:eastAsia="ru-RU"/>
          <w14:ligatures w14:val="none"/>
        </w:rPr>
        <w:t>                                                             (1.2)</w:t>
      </w:r>
    </w:p>
    <w:p w14:paraId="63AE94A7" w14:textId="77777777" w:rsidR="00A50F26" w:rsidRDefault="00A50F26" w:rsidP="00A50F26">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Необходимо осторожно пользоваться комплексным показателем качества продукции, не допуская перекрытия одними единичными показателями существенных недостатков продукции, которые характеризуются другими единичными показателями. Если хотя бы один единичный показатель будет оценен баллом 0 («неудовлетворительно»), то, как правило, комплексный показатель следует принимать равным нулю, т. е. качество продукции должно признаваться неудовлетворительным.</w:t>
      </w:r>
      <w:r>
        <w:rPr>
          <w:rFonts w:ascii="Open Sans" w:hAnsi="Open Sans" w:cs="Open Sans"/>
          <w:color w:val="444444"/>
          <w:sz w:val="21"/>
          <w:szCs w:val="21"/>
        </w:rPr>
        <w:br/>
        <w:t>Естественно стремление при разработке и изготовлении продукции обеспечить наиболее высокие показатели ее качества. Значения показателей, принятые за основу при сравнительной оценке качества продукции, называют базовыми значениями или базовыми показателями качества. Отношение показателя качества оцениваемой продукции к соответствующему базовому показателю определяет уровень качества продукции. Следует различать понятия «уровень качества продукции» и «технический уровень продукции». Технический уровень продукции — это относительная характеристика качества продукции, основанная, согласно ГОСТ 15467-79, на сопоставлении значений показателей, характеризующих техническое совершенство оцениваемой продукции с базовыми значениями соответствующих показателей. Техническое совершенство продукции определяют по специальным картам технического уровня. Составление карт технического уровня является обязательным этапом в опытно-конструкторской разработке новых средств НК. В процессе разработки продукции и ее производства в нормативно-технической документации (НТД) на продукцию регламентируют номинальное значение показателей ее качества и допустимые отклонения этих показателей от номинального значения. Отклонение считается допустимым, если фактическое значение показателя качества продукции не выходит за пределы, установленные НТД. Выход фактического значения показателя за установленные в НТД пределы означает, что рассматриваемая единица продукции имеет дефект. В § 7.4 вопросы оценки и составления карты технического уровня конкретизированы применительно к разработке средств неразрушающего контроля.</w:t>
      </w:r>
    </w:p>
    <w:p w14:paraId="3B89B1B2" w14:textId="7FBEB3FE" w:rsidR="00A50F26" w:rsidRDefault="00A50F26" w:rsidP="00A50F26">
      <w:pPr>
        <w:pStyle w:val="a3"/>
        <w:shd w:val="clear" w:color="auto" w:fill="FFFFFF"/>
        <w:spacing w:before="225" w:beforeAutospacing="0" w:after="225" w:afterAutospacing="0"/>
        <w:jc w:val="both"/>
        <w:rPr>
          <w:rFonts w:ascii="Open Sans" w:hAnsi="Open Sans" w:cs="Open Sans"/>
          <w:color w:val="444444"/>
          <w:sz w:val="21"/>
          <w:szCs w:val="21"/>
        </w:rPr>
      </w:pPr>
      <w:bookmarkStart w:id="0" w:name="_Toc192398550"/>
      <w:bookmarkStart w:id="1" w:name="_Toc191278206"/>
      <w:bookmarkEnd w:id="0"/>
      <w:bookmarkEnd w:id="1"/>
      <w:r>
        <w:rPr>
          <w:rFonts w:ascii="Open Sans" w:hAnsi="Open Sans" w:cs="Open Sans"/>
          <w:color w:val="444444"/>
          <w:sz w:val="21"/>
          <w:szCs w:val="21"/>
        </w:rPr>
        <w:t>§ 1.2 Дефекты и брак продукции</w:t>
      </w:r>
      <w:r>
        <w:rPr>
          <w:rFonts w:ascii="Open Sans" w:hAnsi="Open Sans" w:cs="Open Sans"/>
          <w:color w:val="444444"/>
          <w:sz w:val="21"/>
          <w:szCs w:val="21"/>
        </w:rPr>
        <w:br/>
        <w:t>Под дефектом (от лат. defectus — недостаток) понимают каждое отдельное несоответствие продукции установленным в НТД требованиям. Если продукция имеет дефект (дефектная единица продукции), то это означает, что хотя бы один из показателей качества вышел за предельные значения, установленные НТД.</w:t>
      </w:r>
      <w:r>
        <w:rPr>
          <w:rFonts w:ascii="Open Sans" w:hAnsi="Open Sans" w:cs="Open Sans"/>
          <w:color w:val="444444"/>
          <w:sz w:val="21"/>
          <w:szCs w:val="21"/>
        </w:rPr>
        <w:br/>
        <w:t>Дефекты могут быть обусловлены образованием несплошностей и структурных неоднородностей, отклонением размеров и физико-механических характеристик от номинальных значений, нарушениями формы и другими причинами. Независимо от типа дефектов их, согласно ГОСТ 15467-79, разделяют на три вида: критические, когда при наличии дефекта использовать продукцию по назначению невозможно или недопустимо (небезопасно); значительные, оказывающие существенное влияние на использование продукции и на ее долговечность, но не являющиеся критическими; малозначительные, практически не влияющие на использование продукции по назначению и на ее долговечность.</w:t>
      </w:r>
      <w:r>
        <w:rPr>
          <w:rFonts w:ascii="Open Sans" w:hAnsi="Open Sans" w:cs="Open Sans"/>
          <w:color w:val="444444"/>
          <w:sz w:val="21"/>
          <w:szCs w:val="21"/>
        </w:rPr>
        <w:br/>
        <w:t xml:space="preserve">Вид дефекта, в отличие от типа, характеризует степень его влияния на эффективность и безопасность использования продукции с учетом ее назначения, т. е. потенциальную опасность рассматриваемого дефекта. Очевидно, что дефект одного и того же типа и размера может принадлежать к дефектам различного вида в зависимости от условий и </w:t>
      </w:r>
      <w:r>
        <w:rPr>
          <w:rFonts w:ascii="Open Sans" w:hAnsi="Open Sans" w:cs="Open Sans"/>
          <w:color w:val="444444"/>
          <w:sz w:val="21"/>
          <w:szCs w:val="21"/>
        </w:rPr>
        <w:lastRenderedPageBreak/>
        <w:t>режимов эксплуатации продукции, т.е. в зависимости от ее назначения. Например, пора диаметром 2 мм в стыковом сварном соединении толщиной 20 мм в сосуде для хранения воды относится к малозначительному дефекту, а в таком же соединении в пролетном строении моста — к критическому.</w:t>
      </w:r>
      <w:r>
        <w:rPr>
          <w:rFonts w:ascii="Open Sans" w:hAnsi="Open Sans" w:cs="Open Sans"/>
          <w:color w:val="444444"/>
          <w:sz w:val="21"/>
          <w:szCs w:val="21"/>
        </w:rPr>
        <w:br/>
        <w:t>Необходимо заметить, что во многих отраслях промышленности ограничиваются разделением дефектов по потенциальной опасности на два вида: допустимые и недопустимые, относя к последним критические, а иногда и значительные дефекты. Совокупность дефектов, каждый из которых при отдельном его рассмотрении является малозначительным, может быть эквивалентна значительному или даже критическому (недопустимому) дефекту и должна относиться к соответствующему виду дефектов.</w:t>
      </w:r>
      <w:r>
        <w:rPr>
          <w:rFonts w:ascii="Open Sans" w:hAnsi="Open Sans" w:cs="Open Sans"/>
          <w:color w:val="444444"/>
          <w:sz w:val="21"/>
          <w:szCs w:val="21"/>
        </w:rPr>
        <w:br/>
        <w:t>Дефекты, для выявления которых в НТД на продукцию предусмотрены методы, средства и правила, относят к классу явных дефектов, если даже невозможно их визуальное обнаружение. Дефекты называют скрытыми, если в НТД отсутствуют рекомендации по их обнаружению, включая и визуальный осмотр. Выявленный дефект может быть устранимым, если удаление (исправление) его возможно и экономически целесообразно, в противном случае — неустранимым.</w:t>
      </w:r>
      <w:r>
        <w:rPr>
          <w:rFonts w:ascii="Open Sans" w:hAnsi="Open Sans" w:cs="Open Sans"/>
          <w:color w:val="444444"/>
          <w:sz w:val="21"/>
          <w:szCs w:val="21"/>
        </w:rPr>
        <w:br/>
        <w:t>Продукцию, передача которой потребителю из-за наличия дефектов недопустима, относят к браку. По аналогии с дефектами брак делят на исправимый и неисправимый. Неустранимый дефект не всегда оказывается причиной неисправимости брака. Например, пора в стыке контактной сварки рельсов — неустранимый дефект, а стык с таким дефектом — исправимый брак, потому что, вырезав весь бракованный стык, рельсы можно сварить заново.</w:t>
      </w:r>
      <w:r>
        <w:rPr>
          <w:rFonts w:ascii="Open Sans" w:hAnsi="Open Sans" w:cs="Open Sans"/>
          <w:color w:val="444444"/>
          <w:sz w:val="21"/>
          <w:szCs w:val="21"/>
        </w:rPr>
        <w:br/>
      </w:r>
      <w:r>
        <w:rPr>
          <w:rFonts w:ascii="Open Sans" w:hAnsi="Open Sans" w:cs="Open Sans"/>
          <w:noProof/>
          <w:color w:val="444444"/>
          <w:sz w:val="21"/>
          <w:szCs w:val="21"/>
        </w:rPr>
        <w:lastRenderedPageBreak/>
        <w:drawing>
          <wp:inline distT="0" distB="0" distL="0" distR="0" wp14:anchorId="678E931C" wp14:editId="0FD856B4">
            <wp:extent cx="3604260" cy="5606627"/>
            <wp:effectExtent l="0" t="0" r="0" b="0"/>
            <wp:docPr id="195479593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4260" cy="5606627"/>
                    </a:xfrm>
                    <a:prstGeom prst="rect">
                      <a:avLst/>
                    </a:prstGeom>
                    <a:noFill/>
                    <a:ln>
                      <a:noFill/>
                    </a:ln>
                  </pic:spPr>
                </pic:pic>
              </a:graphicData>
            </a:graphic>
          </wp:inline>
        </w:drawing>
      </w:r>
      <w:r>
        <w:rPr>
          <w:rFonts w:ascii="Open Sans" w:hAnsi="Open Sans" w:cs="Open Sans"/>
          <w:color w:val="444444"/>
          <w:sz w:val="21"/>
          <w:szCs w:val="21"/>
        </w:rPr>
        <w:br/>
        <w:t>Рис. 1.1. Схема основных состояний объектов и событий при их создании (I) и эксплуатации (II):</w:t>
      </w:r>
      <w:r>
        <w:rPr>
          <w:rFonts w:ascii="Open Sans" w:hAnsi="Open Sans" w:cs="Open Sans"/>
          <w:color w:val="444444"/>
          <w:sz w:val="21"/>
          <w:szCs w:val="21"/>
        </w:rPr>
        <w:br/>
        <w:t>1 — исправление брака. 2 — списание, 3 — приемка в эксплуатацию, 4 — повреждение,</w:t>
      </w:r>
      <w:r>
        <w:rPr>
          <w:rFonts w:ascii="Open Sans" w:hAnsi="Open Sans" w:cs="Open Sans"/>
          <w:color w:val="444444"/>
          <w:sz w:val="21"/>
          <w:szCs w:val="21"/>
        </w:rPr>
        <w:br/>
        <w:t>5 — отказ, 6 — переход объекта в предельное состояние, 7 — восстановление, 8 — ремонт</w:t>
      </w:r>
    </w:p>
    <w:p w14:paraId="2C72CA23" w14:textId="77777777" w:rsidR="00A50F26" w:rsidRDefault="00A50F26" w:rsidP="00A50F26">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Термин «дефект» следует отличать от терминов «неисправность» и «отказ». Если термин «дефект» применяют, как правило, при создании и ремонте продукции, то последние два термина — при ее эксплуатации и транспортировке. Неисправность, т. е. состояние объекта (продукции), при котором он не соответствует хотя бы одному требованию НТД, — следствие одного или нескольких дефектов в нем. Неисправность, при которой объект сохраняет работоспособное состояние, называют повреждением. Отказ (в отличие от повреждения) — это событие, которое приводит к нарушению работоспособности объекта. Работоспособность объекта может быть восстановлена, если он еще не достиг предельного состояния, при котором его дальнейшее применение по назначению недопустимо или нецелесообразно, а восстановление невозможно или экономически не оправдано. При этом, однако, не исключается возвращение объекта в исправное состояние за счет ремонта. Схема возможных основных состояний объекта иллюстрируется рис. 1.1.</w:t>
      </w:r>
      <w:r>
        <w:rPr>
          <w:rFonts w:ascii="Open Sans" w:hAnsi="Open Sans" w:cs="Open Sans"/>
          <w:color w:val="444444"/>
          <w:sz w:val="21"/>
          <w:szCs w:val="21"/>
        </w:rPr>
        <w:br/>
        <w:t xml:space="preserve">Своевременное обнаружение дефектов и оценка уровня качества достигаются </w:t>
      </w:r>
      <w:r>
        <w:rPr>
          <w:rFonts w:ascii="Open Sans" w:hAnsi="Open Sans" w:cs="Open Sans"/>
          <w:color w:val="444444"/>
          <w:sz w:val="21"/>
          <w:szCs w:val="21"/>
        </w:rPr>
        <w:lastRenderedPageBreak/>
        <w:t>техническим контролем продукции на стадиях ее разработки, изготовления, эксплуатации и ремонта.</w:t>
      </w:r>
    </w:p>
    <w:p w14:paraId="4C4803EC" w14:textId="2904443C" w:rsidR="000B75EC" w:rsidRDefault="000B75EC" w:rsidP="000B75EC">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 1.3 Контроль качества, испытания и диагностика</w:t>
      </w:r>
      <w:r>
        <w:rPr>
          <w:rFonts w:ascii="Open Sans" w:hAnsi="Open Sans" w:cs="Open Sans"/>
          <w:color w:val="444444"/>
          <w:sz w:val="21"/>
          <w:szCs w:val="21"/>
        </w:rPr>
        <w:br/>
        <w:t>Проверка соответствия продукции или процессов, от которых зависит качество продукции, установленным техническим требованиям составляет сущность технического контроля.</w:t>
      </w:r>
      <w:r>
        <w:rPr>
          <w:rFonts w:ascii="Open Sans" w:hAnsi="Open Sans" w:cs="Open Sans"/>
          <w:color w:val="444444"/>
          <w:sz w:val="21"/>
          <w:szCs w:val="21"/>
        </w:rPr>
        <w:br/>
        <w:t>Объектом технического контроля могут быть процессы разработки продукции и соответствующая техническая документация, технологические процессы изготовления, применения, транспортировки, хранения, технологического обслуживания и ремонта продукции и собственно продукция.</w:t>
      </w:r>
      <w:r>
        <w:rPr>
          <w:rFonts w:ascii="Open Sans" w:hAnsi="Open Sans" w:cs="Open Sans"/>
          <w:color w:val="444444"/>
          <w:sz w:val="21"/>
          <w:szCs w:val="21"/>
        </w:rPr>
        <w:br/>
        <w:t>Технический контроль осуществляют на стадиях проектирования (контроль проектирования), производства (производственный контроль) и эксплуатации (эксплуатационный контроль) продукции. Эксплуатационный контроль — это неотъемлемая составная часть технического диагностирования объектов (диагностика — от греч. diagnosticos — способный распознавать).</w:t>
      </w:r>
      <w:r>
        <w:rPr>
          <w:rFonts w:ascii="Open Sans" w:hAnsi="Open Sans" w:cs="Open Sans"/>
          <w:color w:val="444444"/>
          <w:sz w:val="21"/>
          <w:szCs w:val="21"/>
        </w:rPr>
        <w:br/>
        <w:t>Для технического контроля и диагностики важным свойством продукции является контролепригодность. Оно определяет возможность, удобство и надежность технического контроля и диагностирования продукции в процессе изготовления, испытания, технического обслуживания и эксплуатации (ГОСТ 26656—85).</w:t>
      </w:r>
      <w:r>
        <w:rPr>
          <w:rFonts w:ascii="Open Sans" w:hAnsi="Open Sans" w:cs="Open Sans"/>
          <w:color w:val="444444"/>
          <w:sz w:val="21"/>
          <w:szCs w:val="21"/>
        </w:rPr>
        <w:br/>
        <w:t>В процессе создания продукции выполняют контроль:</w:t>
      </w:r>
      <w:r>
        <w:rPr>
          <w:rFonts w:ascii="Open Sans" w:hAnsi="Open Sans" w:cs="Open Sans"/>
          <w:color w:val="444444"/>
          <w:sz w:val="21"/>
          <w:szCs w:val="21"/>
        </w:rPr>
        <w:br/>
      </w:r>
      <w:r>
        <w:rPr>
          <w:rStyle w:val="a4"/>
          <w:rFonts w:ascii="Open Sans" w:hAnsi="Open Sans" w:cs="Open Sans"/>
          <w:color w:val="DD0055"/>
          <w:sz w:val="21"/>
          <w:szCs w:val="21"/>
        </w:rPr>
        <w:t>входной </w:t>
      </w:r>
      <w:r>
        <w:rPr>
          <w:rFonts w:ascii="Open Sans" w:hAnsi="Open Sans" w:cs="Open Sans"/>
          <w:color w:val="444444"/>
          <w:sz w:val="21"/>
          <w:szCs w:val="21"/>
        </w:rPr>
        <w:t>(контроль продукции, поступающей к потребителю и предназначаемой для использования при изготовлении (ремонте) другой продукции или для эксплуатации). Основные положения входного контроля установлены ГОСТ 24297—87;</w:t>
      </w:r>
      <w:r>
        <w:rPr>
          <w:rFonts w:ascii="Open Sans" w:hAnsi="Open Sans" w:cs="Open Sans"/>
          <w:color w:val="444444"/>
          <w:sz w:val="21"/>
          <w:szCs w:val="21"/>
        </w:rPr>
        <w:br/>
      </w:r>
      <w:r>
        <w:rPr>
          <w:rStyle w:val="a4"/>
          <w:rFonts w:ascii="Open Sans" w:hAnsi="Open Sans" w:cs="Open Sans"/>
          <w:color w:val="DD0055"/>
          <w:sz w:val="21"/>
          <w:szCs w:val="21"/>
        </w:rPr>
        <w:t>пооперационный </w:t>
      </w:r>
      <w:r>
        <w:rPr>
          <w:rFonts w:ascii="Open Sans" w:hAnsi="Open Sans" w:cs="Open Sans"/>
          <w:color w:val="444444"/>
          <w:sz w:val="21"/>
          <w:szCs w:val="21"/>
        </w:rPr>
        <w:t>(контроль продукции или процесса во время выполнения или после завершения технологической операции);</w:t>
      </w:r>
      <w:r>
        <w:rPr>
          <w:rFonts w:ascii="Open Sans" w:hAnsi="Open Sans" w:cs="Open Sans"/>
          <w:color w:val="444444"/>
          <w:sz w:val="21"/>
          <w:szCs w:val="21"/>
        </w:rPr>
        <w:br/>
      </w:r>
      <w:r>
        <w:rPr>
          <w:rStyle w:val="a4"/>
          <w:rFonts w:ascii="Open Sans" w:hAnsi="Open Sans" w:cs="Open Sans"/>
          <w:color w:val="DD0055"/>
          <w:sz w:val="21"/>
          <w:szCs w:val="21"/>
        </w:rPr>
        <w:t>приемочный </w:t>
      </w:r>
      <w:r>
        <w:rPr>
          <w:rFonts w:ascii="Open Sans" w:hAnsi="Open Sans" w:cs="Open Sans"/>
          <w:color w:val="444444"/>
          <w:sz w:val="21"/>
          <w:szCs w:val="21"/>
        </w:rPr>
        <w:t>(контроль продукции, по результатам которого принимают решение о ее пригодности к поставкам потребителю и использованию).</w:t>
      </w:r>
      <w:r>
        <w:rPr>
          <w:rFonts w:ascii="Open Sans" w:hAnsi="Open Sans" w:cs="Open Sans"/>
          <w:color w:val="444444"/>
          <w:sz w:val="21"/>
          <w:szCs w:val="21"/>
        </w:rPr>
        <w:br/>
        <w:t>В эксплуатационном различают входной, профилактический (необязательный) и текущий виды контроля. Контролю подвергают или все единицы (элементы) продукции (сплошной контроль), или некоторую часть (выборочный контроль). При выборочном контроле решение о соответствии (несоответствии) всей продукции установленным техническим требованиям принимают по результатам контроля выборки из исследуемой партии продукции (см. ГОСТ 15895-77; 18321-73).</w:t>
      </w:r>
      <w:r>
        <w:rPr>
          <w:rFonts w:ascii="Open Sans" w:hAnsi="Open Sans" w:cs="Open Sans"/>
          <w:color w:val="444444"/>
          <w:sz w:val="21"/>
          <w:szCs w:val="21"/>
        </w:rPr>
        <w:br/>
        <w:t>Контроль проводят по запланированному графику (плановый контроль) или в случайные моменты, выбираемые службами контроля (летучий контроль). Эффективность летучего контроля обусловливается его внезапностью для разработчиков и изготовителей продукции. Летучий контроль, как правило, проводят непосредственно на месте изготовления, ремонта, хранения продукции.</w:t>
      </w:r>
      <w:r>
        <w:rPr>
          <w:rFonts w:ascii="Open Sans" w:hAnsi="Open Sans" w:cs="Open Sans"/>
          <w:color w:val="444444"/>
          <w:sz w:val="21"/>
          <w:szCs w:val="21"/>
        </w:rPr>
        <w:br/>
        <w:t>В ряде случаев с целью проверки эффективности ранее выполненного контроля осуществляют вторичный, инспекционный контроль продукции специально уполномоченными исполнителями. Инспекционный контроль, как правило, летучий и выборочный.</w:t>
      </w:r>
      <w:r>
        <w:rPr>
          <w:rFonts w:ascii="Open Sans" w:hAnsi="Open Sans" w:cs="Open Sans"/>
          <w:color w:val="444444"/>
          <w:sz w:val="21"/>
          <w:szCs w:val="21"/>
        </w:rPr>
        <w:br/>
        <w:t>Сущность любого технического контроля сводится к осуществлению двух основных этапов:</w:t>
      </w:r>
      <w:r>
        <w:rPr>
          <w:rFonts w:ascii="Open Sans" w:hAnsi="Open Sans" w:cs="Open Sans"/>
          <w:color w:val="444444"/>
          <w:sz w:val="21"/>
          <w:szCs w:val="21"/>
        </w:rPr>
        <w:br/>
        <w:t>1) получение информации о фактическом состоянии объекта контрля, о признаках и показателях его свойств (</w:t>
      </w:r>
      <w:r>
        <w:rPr>
          <w:rStyle w:val="a4"/>
          <w:rFonts w:ascii="Open Sans" w:hAnsi="Open Sans" w:cs="Open Sans"/>
          <w:color w:val="DD0055"/>
          <w:sz w:val="21"/>
          <w:szCs w:val="21"/>
        </w:rPr>
        <w:t>первичная информация</w:t>
      </w:r>
      <w:r>
        <w:rPr>
          <w:rFonts w:ascii="Open Sans" w:hAnsi="Open Sans" w:cs="Open Sans"/>
          <w:color w:val="444444"/>
          <w:sz w:val="21"/>
          <w:szCs w:val="21"/>
        </w:rPr>
        <w:t>);</w:t>
      </w:r>
      <w:r>
        <w:rPr>
          <w:rFonts w:ascii="Open Sans" w:hAnsi="Open Sans" w:cs="Open Sans"/>
          <w:color w:val="444444"/>
          <w:sz w:val="21"/>
          <w:szCs w:val="21"/>
        </w:rPr>
        <w:br/>
        <w:t>2) сопоставление первичной информации с заранее установленными требованиями, нормами, критериями, т. е. обнаружение соответствия или несоответствия фактических данных требуемым. Информацию расхождения фактических и требуемых данных называют </w:t>
      </w:r>
      <w:r>
        <w:rPr>
          <w:rStyle w:val="a4"/>
          <w:rFonts w:ascii="Open Sans" w:hAnsi="Open Sans" w:cs="Open Sans"/>
          <w:color w:val="DD0055"/>
          <w:sz w:val="21"/>
          <w:szCs w:val="21"/>
        </w:rPr>
        <w:t>вторичной</w:t>
      </w:r>
      <w:r>
        <w:rPr>
          <w:rFonts w:ascii="Open Sans" w:hAnsi="Open Sans" w:cs="Open Sans"/>
          <w:color w:val="444444"/>
          <w:sz w:val="21"/>
          <w:szCs w:val="21"/>
        </w:rPr>
        <w:t xml:space="preserve">. На основе вторичной информации вырабатывают соответствующее управляющее воздействие на объект, подвергающийся контролю. Технический контроль, </w:t>
      </w:r>
      <w:r>
        <w:rPr>
          <w:rFonts w:ascii="Open Sans" w:hAnsi="Open Sans" w:cs="Open Sans"/>
          <w:color w:val="444444"/>
          <w:sz w:val="21"/>
          <w:szCs w:val="21"/>
        </w:rPr>
        <w:lastRenderedPageBreak/>
        <w:t>вторичную информацию которого используют также для оценки стабильности и регулирования технологического процесса изготовления или эксплуатации продукции, относят к </w:t>
      </w:r>
      <w:r>
        <w:rPr>
          <w:rStyle w:val="a4"/>
          <w:rFonts w:ascii="Open Sans" w:hAnsi="Open Sans" w:cs="Open Sans"/>
          <w:color w:val="DD0055"/>
          <w:sz w:val="21"/>
          <w:szCs w:val="21"/>
        </w:rPr>
        <w:t>активному контролю</w:t>
      </w:r>
      <w:r>
        <w:rPr>
          <w:rFonts w:ascii="Open Sans" w:hAnsi="Open Sans" w:cs="Open Sans"/>
          <w:color w:val="444444"/>
          <w:sz w:val="21"/>
          <w:szCs w:val="21"/>
        </w:rPr>
        <w:t>.</w:t>
      </w:r>
      <w:r>
        <w:rPr>
          <w:rFonts w:ascii="Open Sans" w:hAnsi="Open Sans" w:cs="Open Sans"/>
          <w:color w:val="444444"/>
          <w:sz w:val="21"/>
          <w:szCs w:val="21"/>
        </w:rPr>
        <w:br/>
        <w:t>Тонический контроль продукции обычно выполняют с применением Технических средств контроля (</w:t>
      </w:r>
      <w:r>
        <w:rPr>
          <w:rStyle w:val="a4"/>
          <w:rFonts w:ascii="Open Sans" w:hAnsi="Open Sans" w:cs="Open Sans"/>
          <w:color w:val="DD0055"/>
          <w:sz w:val="21"/>
          <w:szCs w:val="21"/>
        </w:rPr>
        <w:t>измерительный контроль</w:t>
      </w:r>
      <w:r>
        <w:rPr>
          <w:rFonts w:ascii="Open Sans" w:hAnsi="Open Sans" w:cs="Open Sans"/>
          <w:color w:val="444444"/>
          <w:sz w:val="21"/>
          <w:szCs w:val="21"/>
        </w:rPr>
        <w:t>). В ряде случаев при техническом контроле первичную информацию воспринимают органами чувств (зрение, слух, осязание, обоняние, вкус). Такой контроль называют </w:t>
      </w:r>
      <w:r>
        <w:rPr>
          <w:rStyle w:val="a4"/>
          <w:rFonts w:ascii="Open Sans" w:hAnsi="Open Sans" w:cs="Open Sans"/>
          <w:color w:val="DD0055"/>
          <w:sz w:val="21"/>
          <w:szCs w:val="21"/>
        </w:rPr>
        <w:t>органолептическим</w:t>
      </w:r>
      <w:r>
        <w:rPr>
          <w:rFonts w:ascii="Open Sans" w:hAnsi="Open Sans" w:cs="Open Sans"/>
          <w:color w:val="444444"/>
          <w:sz w:val="21"/>
          <w:szCs w:val="21"/>
        </w:rPr>
        <w:t>. Наиболее распространенный вид органолептического контроля — визуальный осмотр. При органолептическом контроле могут применяться технические средства, увеличршаютие восприимчивость и разрешающую способность органов чувств.</w:t>
      </w:r>
      <w:r>
        <w:rPr>
          <w:rFonts w:ascii="Open Sans" w:hAnsi="Open Sans" w:cs="Open Sans"/>
          <w:color w:val="444444"/>
          <w:sz w:val="21"/>
          <w:szCs w:val="21"/>
        </w:rPr>
        <w:br/>
        <w:t>Технический контроль, после которого в отличие от разрушающего продукция может быть использована по прямому назначению, называют неразрушающим. Один и тот же метод контроля в зависимости от назначения продукции может быть отнесен как к разрушающему, так и к неразрушающему. Например, метод определения твердости путем вдавливания шарика при контроле твердости металлического зеркала </w:t>
      </w:r>
      <w:r>
        <w:rPr>
          <w:rStyle w:val="a4"/>
          <w:rFonts w:ascii="Open Sans" w:hAnsi="Open Sans" w:cs="Open Sans"/>
          <w:color w:val="DD0055"/>
          <w:sz w:val="21"/>
          <w:szCs w:val="21"/>
        </w:rPr>
        <w:t>— разрушающий</w:t>
      </w:r>
      <w:r>
        <w:rPr>
          <w:rFonts w:ascii="Open Sans" w:hAnsi="Open Sans" w:cs="Open Sans"/>
          <w:color w:val="444444"/>
          <w:sz w:val="21"/>
          <w:szCs w:val="21"/>
        </w:rPr>
        <w:t>, а при контроле литой станины — </w:t>
      </w:r>
      <w:r>
        <w:rPr>
          <w:rStyle w:val="a4"/>
          <w:rFonts w:ascii="Open Sans" w:hAnsi="Open Sans" w:cs="Open Sans"/>
          <w:color w:val="DD0055"/>
          <w:sz w:val="21"/>
          <w:szCs w:val="21"/>
        </w:rPr>
        <w:t>неразрушающий</w:t>
      </w:r>
      <w:r>
        <w:rPr>
          <w:rFonts w:ascii="Open Sans" w:hAnsi="Open Sans" w:cs="Open Sans"/>
          <w:color w:val="444444"/>
          <w:sz w:val="21"/>
          <w:szCs w:val="21"/>
        </w:rPr>
        <w:t>, ибо станина с образовавшейся лункой может быть использована по назначению. Неразрушающие методы позволяют вести сплошной контроль. Важность перехода от выборочного контроля к сплошному возрастает с увеличением сложности контролируемого оборудования. Это можно пояснить таким примером. Основную часть парового котла современной электростанции составляет трубная система, включающая сотни тысяч отдельных труб и сварных соединений. Если при выборочном контроле вероятность пропуска дефектного элемента будет составлять 0,01% (весьма высокая степень надежности), то по законам статистики из 100 000 элементов около 10 разрушится во время работы. Отсюда следует, что введение сплошного неразрушающего контроля трубной системы котла является необходимым условием его успешной эксплуатации.</w:t>
      </w:r>
      <w:r>
        <w:rPr>
          <w:rFonts w:ascii="Open Sans" w:hAnsi="Open Sans" w:cs="Open Sans"/>
          <w:color w:val="444444"/>
          <w:sz w:val="21"/>
          <w:szCs w:val="21"/>
        </w:rPr>
        <w:br/>
        <w:t>Классификация технического контроля по видам и взаимосвязям видов приведена на рис. 1.2.</w:t>
      </w:r>
      <w:r>
        <w:rPr>
          <w:rFonts w:ascii="Open Sans" w:hAnsi="Open Sans" w:cs="Open Sans"/>
          <w:color w:val="444444"/>
          <w:sz w:val="21"/>
          <w:szCs w:val="21"/>
        </w:rPr>
        <w:br/>
        <w:t>Принципы и методы технического контроля весьма многогранны. Важное место в техническом контроле занимает контроль качества Продукции, т. е. контроль количественных или (и) качественных показателей качества продукции. Весьма распространен контроль качества, по результатам которого объекты разделяют по альтернативному признаку на «годные» и «дефектные». Система классификации контроля качества продукции соответствует системе классификации для технического контроля (см. рис. 1.2).</w:t>
      </w:r>
      <w:r>
        <w:rPr>
          <w:rFonts w:ascii="Open Sans" w:hAnsi="Open Sans" w:cs="Open Sans"/>
          <w:color w:val="444444"/>
          <w:sz w:val="21"/>
          <w:szCs w:val="21"/>
        </w:rPr>
        <w:br/>
      </w:r>
      <w:r>
        <w:rPr>
          <w:rFonts w:ascii="Open Sans" w:hAnsi="Open Sans" w:cs="Open Sans"/>
          <w:noProof/>
          <w:color w:val="444444"/>
          <w:sz w:val="21"/>
          <w:szCs w:val="21"/>
        </w:rPr>
        <w:lastRenderedPageBreak/>
        <w:drawing>
          <wp:inline distT="0" distB="0" distL="0" distR="0" wp14:anchorId="389BCE59" wp14:editId="306FDDBC">
            <wp:extent cx="5890260" cy="5901188"/>
            <wp:effectExtent l="0" t="0" r="0" b="4445"/>
            <wp:docPr id="330177152" name="Рисунок 4" descr="Изображение выглядит как диаграмма, зарисовка, рисунок, Пла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177152" name="Рисунок 4" descr="Изображение выглядит как диаграмма, зарисовка, рисунок, План&#10;&#10;Автоматически созданное описание"/>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96481" cy="5907420"/>
                    </a:xfrm>
                    <a:prstGeom prst="rect">
                      <a:avLst/>
                    </a:prstGeom>
                    <a:noFill/>
                    <a:ln>
                      <a:noFill/>
                    </a:ln>
                  </pic:spPr>
                </pic:pic>
              </a:graphicData>
            </a:graphic>
          </wp:inline>
        </w:drawing>
      </w:r>
      <w:r>
        <w:rPr>
          <w:rFonts w:ascii="Open Sans" w:hAnsi="Open Sans" w:cs="Open Sans"/>
          <w:color w:val="444444"/>
          <w:sz w:val="21"/>
          <w:szCs w:val="21"/>
        </w:rPr>
        <w:br/>
        <w:t>Рис. 1.2. Классификация технического контроля по видам</w:t>
      </w:r>
    </w:p>
    <w:p w14:paraId="37736B97" w14:textId="77777777" w:rsidR="000B75EC" w:rsidRDefault="000B75EC" w:rsidP="000B75EC">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 xml:space="preserve">Значения показателей качества могут быть установлены экспериментально при испытании продукции как результат ее функционирования или воздействий на испытуемую продукцию. Испытание продукции может выполнять и функции контроля качества, если задачей испытаний является только установление соответствия показателей качества заданным требованиям. Например, приемочный контроль качества стыков контактной сварки рельсов нарельсосварочных предприятиях включает три этапа: 1) на соответствие чистоты обработки поверхности сварных стыков требованиям инструкции на сварку; 2) на отсутствие в стыках поверхностных и внутренних недопустимых дефектов (несплошностей); 3) на соответствие прочностных свойств сварных стыков требованиям инструкции на сварку. На первом этапе проводят сплошной органолептический контроль с использованием шаблона; на втором этапе стыки подвергают сплошному ультразвуковому (инструментальному) неразрушающему контролю; на третьем этапе выполняют контроль показателя качества всей партии стыков, сваренных за смену, путем испытаний контрольного образца сварного стыка на прессе: стыки считают годными, если нагрузка и стрела прогиба, при которых произошел излом контрольного образца, равны или превышают значения, установленные в инструкции на </w:t>
      </w:r>
      <w:r>
        <w:rPr>
          <w:rFonts w:ascii="Open Sans" w:hAnsi="Open Sans" w:cs="Open Sans"/>
          <w:color w:val="444444"/>
          <w:sz w:val="21"/>
          <w:szCs w:val="21"/>
        </w:rPr>
        <w:lastRenderedPageBreak/>
        <w:t xml:space="preserve">сварку. На третьем этапе проводят выборочный разрушающий инструментальный контроль путем испытания ОК. </w:t>
      </w:r>
    </w:p>
    <w:p w14:paraId="01CB5B8A" w14:textId="61F350B4" w:rsidR="000B75EC" w:rsidRDefault="000B75EC" w:rsidP="000B75EC">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Из всех известных методов контроля качества наибольшими функциональными возможностями обладают физические методы неразрушающего контроля. Поэтому в настоящее время физические методы неразрушающего контроля (методы НК) — самая массовая технологическая операция.</w:t>
      </w:r>
    </w:p>
    <w:p w14:paraId="40094E3D" w14:textId="77777777" w:rsidR="00104A5B" w:rsidRDefault="00104A5B" w:rsidP="00104A5B">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 1.4 Методы неразрушающего контроля</w:t>
      </w:r>
      <w:r>
        <w:rPr>
          <w:rFonts w:ascii="Open Sans" w:hAnsi="Open Sans" w:cs="Open Sans"/>
          <w:color w:val="444444"/>
          <w:sz w:val="21"/>
          <w:szCs w:val="21"/>
        </w:rPr>
        <w:br/>
        <w:t>Методы НК разделяют на группы, называемые видами, объединенные общностью физических признаков. Существует девять различных видов НК: магнитный, электрический, вихретоковый, радиоволновый, тепловой, оптический, радиационный, акустический и проникающими веществами. Методы каждого вида НК классифицируют по рассматриваемым ниже признакам.</w:t>
      </w:r>
      <w:r>
        <w:rPr>
          <w:rFonts w:ascii="Open Sans" w:hAnsi="Open Sans" w:cs="Open Sans"/>
          <w:color w:val="444444"/>
          <w:sz w:val="21"/>
          <w:szCs w:val="21"/>
        </w:rPr>
        <w:br/>
        <w:t>Характер взаимодействия поля или вещества с объектом. Взаимодействие должно быть таким, чтобы контролируемый признак объекта вызывал определенные изменения физического поля или состояния вещества. Например, чтобы наличие несплошности вызывало изменение прошедшего через нее излучения или проникновение в нее пробного вещества. В некоторых случаях используемое для контроля физическое поле возникает под действием других физических эффектов, связанных с контролируемым признаком. Например, электродвижущая сила, возникающая при нагреве разнородных материалов, позволяет контролировать химический состав материалов (термоэлектрический эффект).</w:t>
      </w:r>
      <w:r>
        <w:rPr>
          <w:rFonts w:ascii="Open Sans" w:hAnsi="Open Sans" w:cs="Open Sans"/>
          <w:color w:val="444444"/>
          <w:sz w:val="21"/>
          <w:szCs w:val="21"/>
        </w:rPr>
        <w:br/>
        <w:t>Первичный информативный параметр — конкретный параметр поля или вещества (амплитуда поля, время его распространения, количество вещества и т. д.), изменение которого используют для характеристики контролируемого объекта. Например, наличие несплошности увеличивает или уменьшает амплитуду прошедшего через нее излучения.</w:t>
      </w:r>
    </w:p>
    <w:p w14:paraId="400B4E4E" w14:textId="5122C6C0" w:rsidR="00104A5B" w:rsidRDefault="00104A5B" w:rsidP="00104A5B">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noProof/>
          <w:color w:val="444444"/>
          <w:sz w:val="21"/>
          <w:szCs w:val="21"/>
        </w:rPr>
        <w:drawing>
          <wp:inline distT="0" distB="0" distL="0" distR="0" wp14:anchorId="3E25826C" wp14:editId="3B053082">
            <wp:extent cx="3505200" cy="1866900"/>
            <wp:effectExtent l="0" t="0" r="0" b="0"/>
            <wp:docPr id="1072255687" name="Рисунок 5" descr="Изображение выглядит как зарисовка, диаграмма, линия, рисунок&#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255687" name="Рисунок 5" descr="Изображение выглядит как зарисовка, диаграмма, линия, рисунок&#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05200" cy="1866900"/>
                    </a:xfrm>
                    <a:prstGeom prst="rect">
                      <a:avLst/>
                    </a:prstGeom>
                    <a:noFill/>
                    <a:ln>
                      <a:noFill/>
                    </a:ln>
                  </pic:spPr>
                </pic:pic>
              </a:graphicData>
            </a:graphic>
          </wp:inline>
        </w:drawing>
      </w:r>
      <w:r>
        <w:rPr>
          <w:rFonts w:ascii="Open Sans" w:hAnsi="Open Sans" w:cs="Open Sans"/>
          <w:color w:val="444444"/>
          <w:sz w:val="21"/>
          <w:szCs w:val="21"/>
        </w:rPr>
        <w:br/>
        <w:t>Рис. 1.3. Кривые намагничивания ферромагнитных материалов: а — магнитожесткого,</w:t>
      </w:r>
      <w:r>
        <w:rPr>
          <w:rFonts w:ascii="Open Sans" w:hAnsi="Open Sans" w:cs="Open Sans"/>
          <w:color w:val="444444"/>
          <w:sz w:val="21"/>
          <w:szCs w:val="21"/>
        </w:rPr>
        <w:br/>
        <w:t>б — магнитомягкого (1 — основная кривая намагничивания, 2 — петля гистерезиса,</w:t>
      </w:r>
      <w:r>
        <w:rPr>
          <w:rFonts w:ascii="Open Sans" w:hAnsi="Open Sans" w:cs="Open Sans"/>
          <w:color w:val="444444"/>
          <w:sz w:val="21"/>
          <w:szCs w:val="21"/>
        </w:rPr>
        <w:br/>
        <w:t>3 — скачкообразный характер намагничивания, наблюдаемый при точных измерениях)</w:t>
      </w:r>
    </w:p>
    <w:p w14:paraId="0CC7DF81" w14:textId="77777777" w:rsidR="00104A5B" w:rsidRDefault="00104A5B" w:rsidP="00104A5B">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Способ получения первичной информации — конкретный тип датчика или вещества, которые используют для измерения и фиксации упомянутого информационного параметра.</w:t>
      </w:r>
      <w:r>
        <w:rPr>
          <w:rFonts w:ascii="Open Sans" w:hAnsi="Open Sans" w:cs="Open Sans"/>
          <w:color w:val="444444"/>
          <w:sz w:val="21"/>
          <w:szCs w:val="21"/>
        </w:rPr>
        <w:br/>
        <w:t>Классификация методов НК по ГОСТ 18353—79 дана в табл. 1.1.</w:t>
      </w:r>
      <w:r>
        <w:rPr>
          <w:rFonts w:ascii="Open Sans" w:hAnsi="Open Sans" w:cs="Open Sans"/>
          <w:color w:val="444444"/>
          <w:sz w:val="21"/>
          <w:szCs w:val="21"/>
        </w:rPr>
        <w:br/>
        <w:t xml:space="preserve">Магнитный вид неразрушающего контроля основан на анализе взаимодействия магнитного поля с контролируемым объектом (см. кн. 3 данной серии). Как правило, его применяют для контроля объектов из ферромагнитных материалов. По характеру взаимодействия физического поля с объектом этот вид контроля не дифференцируют: во всех случаях используют намагничивание объекта и измеряют параметры, используемые </w:t>
      </w:r>
      <w:r>
        <w:rPr>
          <w:rFonts w:ascii="Open Sans" w:hAnsi="Open Sans" w:cs="Open Sans"/>
          <w:color w:val="444444"/>
          <w:sz w:val="21"/>
          <w:szCs w:val="21"/>
        </w:rPr>
        <w:lastRenderedPageBreak/>
        <w:t>при контроле магнитными методами. Процесс намагничивания и перемагничивания ферромагнитного материала сопровождается гистерезисными явлениями (рис. 1.3). Свойства, которые требуется контролировать (химический состав, структура, наличие несплошностей и др.), обычно связаны с параметрами процесса намагничивания и, петлей гистерезиса.</w:t>
      </w:r>
    </w:p>
    <w:p w14:paraId="6AD6112E" w14:textId="77777777" w:rsidR="00104A5B" w:rsidRDefault="00104A5B" w:rsidP="00104A5B">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 </w:t>
      </w:r>
    </w:p>
    <w:p w14:paraId="538EED84" w14:textId="77777777" w:rsidR="00104A5B" w:rsidRPr="00104A5B" w:rsidRDefault="00104A5B" w:rsidP="00104A5B">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Таблица 1.1 — Классификация методов неразрушающего контроля</w:t>
      </w:r>
    </w:p>
    <w:tbl>
      <w:tblPr>
        <w:tblW w:w="10065" w:type="dxa"/>
        <w:tblInd w:w="-859"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835"/>
        <w:gridCol w:w="2190"/>
        <w:gridCol w:w="2508"/>
        <w:gridCol w:w="3532"/>
      </w:tblGrid>
      <w:tr w:rsidR="00104A5B" w:rsidRPr="00104A5B" w14:paraId="343DB4A1" w14:textId="77777777" w:rsidTr="00104A5B">
        <w:tc>
          <w:tcPr>
            <w:tcW w:w="183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2D3ACA4E" w14:textId="77777777" w:rsidR="00104A5B" w:rsidRPr="00104A5B" w:rsidRDefault="00104A5B" w:rsidP="00104A5B">
            <w:pPr>
              <w:spacing w:after="0"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br/>
              <w:t>Вид контроля</w:t>
            </w:r>
          </w:p>
        </w:tc>
        <w:tc>
          <w:tcPr>
            <w:tcW w:w="8230" w:type="dxa"/>
            <w:gridSpan w:val="3"/>
            <w:tcBorders>
              <w:top w:val="outset" w:sz="6" w:space="0" w:color="auto"/>
              <w:left w:val="outset" w:sz="6" w:space="0" w:color="auto"/>
              <w:bottom w:val="outset" w:sz="6" w:space="0" w:color="auto"/>
              <w:right w:val="outset" w:sz="6" w:space="0" w:color="auto"/>
            </w:tcBorders>
            <w:shd w:val="clear" w:color="auto" w:fill="FFFFFF"/>
            <w:hideMark/>
          </w:tcPr>
          <w:p w14:paraId="436FD4A6" w14:textId="77777777" w:rsidR="00104A5B" w:rsidRPr="00104A5B" w:rsidRDefault="00104A5B" w:rsidP="00104A5B">
            <w:pPr>
              <w:spacing w:after="225" w:line="240" w:lineRule="auto"/>
              <w:jc w:val="center"/>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Методы контроля</w:t>
            </w:r>
          </w:p>
        </w:tc>
      </w:tr>
      <w:tr w:rsidR="00104A5B" w:rsidRPr="00104A5B" w14:paraId="4992F824" w14:textId="77777777" w:rsidTr="00104A5B">
        <w:tc>
          <w:tcPr>
            <w:tcW w:w="1835"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3E47538A" w14:textId="77777777" w:rsidR="00104A5B" w:rsidRPr="00104A5B" w:rsidRDefault="00104A5B" w:rsidP="00104A5B">
            <w:pPr>
              <w:spacing w:after="0" w:line="240" w:lineRule="auto"/>
              <w:rPr>
                <w:rFonts w:ascii="Open Sans" w:eastAsia="Times New Roman" w:hAnsi="Open Sans" w:cs="Open Sans"/>
                <w:color w:val="444444"/>
                <w:kern w:val="0"/>
                <w:sz w:val="21"/>
                <w:szCs w:val="21"/>
                <w:lang w:eastAsia="ru-RU"/>
                <w14:ligatures w14:val="none"/>
              </w:rPr>
            </w:pPr>
          </w:p>
        </w:tc>
        <w:tc>
          <w:tcPr>
            <w:tcW w:w="219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15CA0CF"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по характеру взаимодействия физических полей или проникающих веществ с ОК</w:t>
            </w:r>
          </w:p>
        </w:tc>
        <w:tc>
          <w:tcPr>
            <w:tcW w:w="250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9921092"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по первичному информативному параметру</w:t>
            </w:r>
          </w:p>
        </w:tc>
        <w:tc>
          <w:tcPr>
            <w:tcW w:w="353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392960B"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по способу получения первичной информации</w:t>
            </w:r>
          </w:p>
        </w:tc>
      </w:tr>
      <w:tr w:rsidR="00104A5B" w:rsidRPr="00104A5B" w14:paraId="4BF23F3B" w14:textId="77777777" w:rsidTr="00104A5B">
        <w:tc>
          <w:tcPr>
            <w:tcW w:w="18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646563F"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Магнитный</w:t>
            </w:r>
          </w:p>
        </w:tc>
        <w:tc>
          <w:tcPr>
            <w:tcW w:w="219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3676834"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Магнитный</w:t>
            </w:r>
          </w:p>
        </w:tc>
        <w:tc>
          <w:tcPr>
            <w:tcW w:w="250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115915E"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Коэрцитивной силы</w:t>
            </w:r>
            <w:r w:rsidRPr="00104A5B">
              <w:rPr>
                <w:rFonts w:ascii="Open Sans" w:eastAsia="Times New Roman" w:hAnsi="Open Sans" w:cs="Open Sans"/>
                <w:color w:val="444444"/>
                <w:kern w:val="0"/>
                <w:sz w:val="21"/>
                <w:szCs w:val="21"/>
                <w:lang w:eastAsia="ru-RU"/>
                <w14:ligatures w14:val="none"/>
              </w:rPr>
              <w:br/>
              <w:t>Намагниченности</w:t>
            </w:r>
            <w:r w:rsidRPr="00104A5B">
              <w:rPr>
                <w:rFonts w:ascii="Open Sans" w:eastAsia="Times New Roman" w:hAnsi="Open Sans" w:cs="Open Sans"/>
                <w:color w:val="444444"/>
                <w:kern w:val="0"/>
                <w:sz w:val="21"/>
                <w:szCs w:val="21"/>
                <w:lang w:eastAsia="ru-RU"/>
                <w14:ligatures w14:val="none"/>
              </w:rPr>
              <w:br/>
              <w:t>Остаточной индукции</w:t>
            </w:r>
            <w:r w:rsidRPr="00104A5B">
              <w:rPr>
                <w:rFonts w:ascii="Open Sans" w:eastAsia="Times New Roman" w:hAnsi="Open Sans" w:cs="Open Sans"/>
                <w:color w:val="444444"/>
                <w:kern w:val="0"/>
                <w:sz w:val="21"/>
                <w:szCs w:val="21"/>
                <w:lang w:eastAsia="ru-RU"/>
                <w14:ligatures w14:val="none"/>
              </w:rPr>
              <w:br/>
              <w:t>Магнитной проницаемости</w:t>
            </w:r>
            <w:r w:rsidRPr="00104A5B">
              <w:rPr>
                <w:rFonts w:ascii="Open Sans" w:eastAsia="Times New Roman" w:hAnsi="Open Sans" w:cs="Open Sans"/>
                <w:color w:val="444444"/>
                <w:kern w:val="0"/>
                <w:sz w:val="21"/>
                <w:szCs w:val="21"/>
                <w:lang w:eastAsia="ru-RU"/>
                <w14:ligatures w14:val="none"/>
              </w:rPr>
              <w:br/>
              <w:t>Эффекта Баркгаузена</w:t>
            </w:r>
          </w:p>
        </w:tc>
        <w:tc>
          <w:tcPr>
            <w:tcW w:w="353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376B45E"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Магнитопорошковый</w:t>
            </w:r>
            <w:r w:rsidRPr="00104A5B">
              <w:rPr>
                <w:rFonts w:ascii="Open Sans" w:eastAsia="Times New Roman" w:hAnsi="Open Sans" w:cs="Open Sans"/>
                <w:color w:val="444444"/>
                <w:kern w:val="0"/>
                <w:sz w:val="21"/>
                <w:szCs w:val="21"/>
                <w:lang w:eastAsia="ru-RU"/>
                <w14:ligatures w14:val="none"/>
              </w:rPr>
              <w:br/>
              <w:t>Индукционный</w:t>
            </w:r>
            <w:r w:rsidRPr="00104A5B">
              <w:rPr>
                <w:rFonts w:ascii="Open Sans" w:eastAsia="Times New Roman" w:hAnsi="Open Sans" w:cs="Open Sans"/>
                <w:color w:val="444444"/>
                <w:kern w:val="0"/>
                <w:sz w:val="21"/>
                <w:szCs w:val="21"/>
                <w:lang w:eastAsia="ru-RU"/>
                <w14:ligatures w14:val="none"/>
              </w:rPr>
              <w:br/>
              <w:t>Феррозондовый</w:t>
            </w:r>
            <w:r w:rsidRPr="00104A5B">
              <w:rPr>
                <w:rFonts w:ascii="Open Sans" w:eastAsia="Times New Roman" w:hAnsi="Open Sans" w:cs="Open Sans"/>
                <w:color w:val="444444"/>
                <w:kern w:val="0"/>
                <w:sz w:val="21"/>
                <w:szCs w:val="21"/>
                <w:lang w:eastAsia="ru-RU"/>
                <w14:ligatures w14:val="none"/>
              </w:rPr>
              <w:br/>
              <w:t>Эффекта Холла</w:t>
            </w:r>
            <w:r w:rsidRPr="00104A5B">
              <w:rPr>
                <w:rFonts w:ascii="Open Sans" w:eastAsia="Times New Roman" w:hAnsi="Open Sans" w:cs="Open Sans"/>
                <w:color w:val="444444"/>
                <w:kern w:val="0"/>
                <w:sz w:val="21"/>
                <w:szCs w:val="21"/>
                <w:lang w:eastAsia="ru-RU"/>
                <w14:ligatures w14:val="none"/>
              </w:rPr>
              <w:br/>
              <w:t>Магнитографический</w:t>
            </w:r>
            <w:r w:rsidRPr="00104A5B">
              <w:rPr>
                <w:rFonts w:ascii="Open Sans" w:eastAsia="Times New Roman" w:hAnsi="Open Sans" w:cs="Open Sans"/>
                <w:color w:val="444444"/>
                <w:kern w:val="0"/>
                <w:sz w:val="21"/>
                <w:szCs w:val="21"/>
                <w:lang w:eastAsia="ru-RU"/>
                <w14:ligatures w14:val="none"/>
              </w:rPr>
              <w:br/>
              <w:t>Пондеромоторный</w:t>
            </w:r>
            <w:r w:rsidRPr="00104A5B">
              <w:rPr>
                <w:rFonts w:ascii="Open Sans" w:eastAsia="Times New Roman" w:hAnsi="Open Sans" w:cs="Open Sans"/>
                <w:color w:val="444444"/>
                <w:kern w:val="0"/>
                <w:sz w:val="21"/>
                <w:szCs w:val="21"/>
                <w:lang w:eastAsia="ru-RU"/>
                <w14:ligatures w14:val="none"/>
              </w:rPr>
              <w:br/>
              <w:t>Магниторезисторный</w:t>
            </w:r>
          </w:p>
        </w:tc>
      </w:tr>
      <w:tr w:rsidR="00104A5B" w:rsidRPr="00104A5B" w14:paraId="1EB11D25" w14:textId="77777777" w:rsidTr="00104A5B">
        <w:tc>
          <w:tcPr>
            <w:tcW w:w="18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770A668"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Электрический</w:t>
            </w:r>
          </w:p>
        </w:tc>
        <w:tc>
          <w:tcPr>
            <w:tcW w:w="219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7ACB3CE"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Электрический</w:t>
            </w:r>
            <w:r w:rsidRPr="00104A5B">
              <w:rPr>
                <w:rFonts w:ascii="Open Sans" w:eastAsia="Times New Roman" w:hAnsi="Open Sans" w:cs="Open Sans"/>
                <w:color w:val="444444"/>
                <w:kern w:val="0"/>
                <w:sz w:val="21"/>
                <w:szCs w:val="21"/>
                <w:lang w:eastAsia="ru-RU"/>
                <w14:ligatures w14:val="none"/>
              </w:rPr>
              <w:br/>
              <w:t>Трибоэлектрический</w:t>
            </w:r>
            <w:r w:rsidRPr="00104A5B">
              <w:rPr>
                <w:rFonts w:ascii="Open Sans" w:eastAsia="Times New Roman" w:hAnsi="Open Sans" w:cs="Open Sans"/>
                <w:color w:val="444444"/>
                <w:kern w:val="0"/>
                <w:sz w:val="21"/>
                <w:szCs w:val="21"/>
                <w:lang w:eastAsia="ru-RU"/>
                <w14:ligatures w14:val="none"/>
              </w:rPr>
              <w:br/>
              <w:t>Термоэлектрический</w:t>
            </w:r>
          </w:p>
        </w:tc>
        <w:tc>
          <w:tcPr>
            <w:tcW w:w="250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77ABF61"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Электропотенциальный</w:t>
            </w:r>
            <w:r w:rsidRPr="00104A5B">
              <w:rPr>
                <w:rFonts w:ascii="Open Sans" w:eastAsia="Times New Roman" w:hAnsi="Open Sans" w:cs="Open Sans"/>
                <w:color w:val="444444"/>
                <w:kern w:val="0"/>
                <w:sz w:val="21"/>
                <w:szCs w:val="21"/>
                <w:lang w:eastAsia="ru-RU"/>
                <w14:ligatures w14:val="none"/>
              </w:rPr>
              <w:br/>
              <w:t>Электроемкостный</w:t>
            </w:r>
          </w:p>
        </w:tc>
        <w:tc>
          <w:tcPr>
            <w:tcW w:w="353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B0CA20A"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Электростатический порошковый</w:t>
            </w:r>
            <w:r w:rsidRPr="00104A5B">
              <w:rPr>
                <w:rFonts w:ascii="Open Sans" w:eastAsia="Times New Roman" w:hAnsi="Open Sans" w:cs="Open Sans"/>
                <w:color w:val="444444"/>
                <w:kern w:val="0"/>
                <w:sz w:val="21"/>
                <w:szCs w:val="21"/>
                <w:lang w:eastAsia="ru-RU"/>
                <w14:ligatures w14:val="none"/>
              </w:rPr>
              <w:br/>
              <w:t>Электропараметрический</w:t>
            </w:r>
            <w:r w:rsidRPr="00104A5B">
              <w:rPr>
                <w:rFonts w:ascii="Open Sans" w:eastAsia="Times New Roman" w:hAnsi="Open Sans" w:cs="Open Sans"/>
                <w:color w:val="444444"/>
                <w:kern w:val="0"/>
                <w:sz w:val="21"/>
                <w:szCs w:val="21"/>
                <w:lang w:eastAsia="ru-RU"/>
                <w14:ligatures w14:val="none"/>
              </w:rPr>
              <w:br/>
              <w:t>Электроискровой</w:t>
            </w:r>
            <w:r w:rsidRPr="00104A5B">
              <w:rPr>
                <w:rFonts w:ascii="Open Sans" w:eastAsia="Times New Roman" w:hAnsi="Open Sans" w:cs="Open Sans"/>
                <w:color w:val="444444"/>
                <w:kern w:val="0"/>
                <w:sz w:val="21"/>
                <w:szCs w:val="21"/>
                <w:lang w:eastAsia="ru-RU"/>
                <w14:ligatures w14:val="none"/>
              </w:rPr>
              <w:br/>
              <w:t>Экзоэлектронной эмиссии</w:t>
            </w:r>
            <w:r w:rsidRPr="00104A5B">
              <w:rPr>
                <w:rFonts w:ascii="Open Sans" w:eastAsia="Times New Roman" w:hAnsi="Open Sans" w:cs="Open Sans"/>
                <w:color w:val="444444"/>
                <w:kern w:val="0"/>
                <w:sz w:val="21"/>
                <w:szCs w:val="21"/>
                <w:lang w:eastAsia="ru-RU"/>
                <w14:ligatures w14:val="none"/>
              </w:rPr>
              <w:br/>
              <w:t>Шумовой</w:t>
            </w:r>
            <w:r w:rsidRPr="00104A5B">
              <w:rPr>
                <w:rFonts w:ascii="Open Sans" w:eastAsia="Times New Roman" w:hAnsi="Open Sans" w:cs="Open Sans"/>
                <w:color w:val="444444"/>
                <w:kern w:val="0"/>
                <w:sz w:val="21"/>
                <w:szCs w:val="21"/>
                <w:lang w:eastAsia="ru-RU"/>
                <w14:ligatures w14:val="none"/>
              </w:rPr>
              <w:br/>
              <w:t>Контактной разности потенциалов</w:t>
            </w:r>
          </w:p>
        </w:tc>
      </w:tr>
      <w:tr w:rsidR="00104A5B" w:rsidRPr="00104A5B" w14:paraId="576995E7" w14:textId="77777777" w:rsidTr="00104A5B">
        <w:tc>
          <w:tcPr>
            <w:tcW w:w="18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BB7E12C"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Вихретоковый</w:t>
            </w:r>
          </w:p>
        </w:tc>
        <w:tc>
          <w:tcPr>
            <w:tcW w:w="219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8460876"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Прошедшего поля</w:t>
            </w:r>
            <w:r w:rsidRPr="00104A5B">
              <w:rPr>
                <w:rFonts w:ascii="Open Sans" w:eastAsia="Times New Roman" w:hAnsi="Open Sans" w:cs="Open Sans"/>
                <w:color w:val="444444"/>
                <w:kern w:val="0"/>
                <w:sz w:val="21"/>
                <w:szCs w:val="21"/>
                <w:lang w:eastAsia="ru-RU"/>
                <w14:ligatures w14:val="none"/>
              </w:rPr>
              <w:br/>
              <w:t>Отраженного поля</w:t>
            </w:r>
          </w:p>
        </w:tc>
        <w:tc>
          <w:tcPr>
            <w:tcW w:w="250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1BF688B"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Амплитудный</w:t>
            </w:r>
            <w:r w:rsidRPr="00104A5B">
              <w:rPr>
                <w:rFonts w:ascii="Open Sans" w:eastAsia="Times New Roman" w:hAnsi="Open Sans" w:cs="Open Sans"/>
                <w:color w:val="444444"/>
                <w:kern w:val="0"/>
                <w:sz w:val="21"/>
                <w:szCs w:val="21"/>
                <w:lang w:eastAsia="ru-RU"/>
                <w14:ligatures w14:val="none"/>
              </w:rPr>
              <w:br/>
              <w:t>Фазовый</w:t>
            </w:r>
            <w:r w:rsidRPr="00104A5B">
              <w:rPr>
                <w:rFonts w:ascii="Open Sans" w:eastAsia="Times New Roman" w:hAnsi="Open Sans" w:cs="Open Sans"/>
                <w:color w:val="444444"/>
                <w:kern w:val="0"/>
                <w:sz w:val="21"/>
                <w:szCs w:val="21"/>
                <w:lang w:eastAsia="ru-RU"/>
                <w14:ligatures w14:val="none"/>
              </w:rPr>
              <w:br/>
              <w:t>Частотный</w:t>
            </w:r>
            <w:r w:rsidRPr="00104A5B">
              <w:rPr>
                <w:rFonts w:ascii="Open Sans" w:eastAsia="Times New Roman" w:hAnsi="Open Sans" w:cs="Open Sans"/>
                <w:color w:val="444444"/>
                <w:kern w:val="0"/>
                <w:sz w:val="21"/>
                <w:szCs w:val="21"/>
                <w:lang w:eastAsia="ru-RU"/>
                <w14:ligatures w14:val="none"/>
              </w:rPr>
              <w:br/>
              <w:t>Спектральный</w:t>
            </w:r>
            <w:r w:rsidRPr="00104A5B">
              <w:rPr>
                <w:rFonts w:ascii="Open Sans" w:eastAsia="Times New Roman" w:hAnsi="Open Sans" w:cs="Open Sans"/>
                <w:color w:val="444444"/>
                <w:kern w:val="0"/>
                <w:sz w:val="21"/>
                <w:szCs w:val="21"/>
                <w:lang w:eastAsia="ru-RU"/>
                <w14:ligatures w14:val="none"/>
              </w:rPr>
              <w:br/>
              <w:t>Многочастотный</w:t>
            </w:r>
          </w:p>
        </w:tc>
        <w:tc>
          <w:tcPr>
            <w:tcW w:w="353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71A4F86"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Трансформаторный</w:t>
            </w:r>
            <w:r w:rsidRPr="00104A5B">
              <w:rPr>
                <w:rFonts w:ascii="Open Sans" w:eastAsia="Times New Roman" w:hAnsi="Open Sans" w:cs="Open Sans"/>
                <w:color w:val="444444"/>
                <w:kern w:val="0"/>
                <w:sz w:val="21"/>
                <w:szCs w:val="21"/>
                <w:lang w:eastAsia="ru-RU"/>
                <w14:ligatures w14:val="none"/>
              </w:rPr>
              <w:br/>
              <w:t>Параметрический</w:t>
            </w:r>
          </w:p>
        </w:tc>
      </w:tr>
      <w:tr w:rsidR="00104A5B" w:rsidRPr="00104A5B" w14:paraId="143FA6A3" w14:textId="77777777" w:rsidTr="00104A5B">
        <w:tc>
          <w:tcPr>
            <w:tcW w:w="18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8A8B10A"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Радиоволновый</w:t>
            </w:r>
          </w:p>
        </w:tc>
        <w:tc>
          <w:tcPr>
            <w:tcW w:w="219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A9C723F"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Прошедшего излучения</w:t>
            </w:r>
            <w:r w:rsidRPr="00104A5B">
              <w:rPr>
                <w:rFonts w:ascii="Open Sans" w:eastAsia="Times New Roman" w:hAnsi="Open Sans" w:cs="Open Sans"/>
                <w:color w:val="444444"/>
                <w:kern w:val="0"/>
                <w:sz w:val="21"/>
                <w:szCs w:val="21"/>
                <w:lang w:eastAsia="ru-RU"/>
                <w14:ligatures w14:val="none"/>
              </w:rPr>
              <w:br/>
              <w:t>Отраженного излучения</w:t>
            </w:r>
            <w:r w:rsidRPr="00104A5B">
              <w:rPr>
                <w:rFonts w:ascii="Open Sans" w:eastAsia="Times New Roman" w:hAnsi="Open Sans" w:cs="Open Sans"/>
                <w:color w:val="444444"/>
                <w:kern w:val="0"/>
                <w:sz w:val="21"/>
                <w:szCs w:val="21"/>
                <w:lang w:eastAsia="ru-RU"/>
                <w14:ligatures w14:val="none"/>
              </w:rPr>
              <w:br/>
              <w:t>Рассеянного излучения</w:t>
            </w:r>
            <w:r w:rsidRPr="00104A5B">
              <w:rPr>
                <w:rFonts w:ascii="Open Sans" w:eastAsia="Times New Roman" w:hAnsi="Open Sans" w:cs="Open Sans"/>
                <w:color w:val="444444"/>
                <w:kern w:val="0"/>
                <w:sz w:val="21"/>
                <w:szCs w:val="21"/>
                <w:lang w:eastAsia="ru-RU"/>
                <w14:ligatures w14:val="none"/>
              </w:rPr>
              <w:br/>
              <w:t>Резонансный</w:t>
            </w:r>
          </w:p>
        </w:tc>
        <w:tc>
          <w:tcPr>
            <w:tcW w:w="250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ED7BBC4"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Амплитудный</w:t>
            </w:r>
            <w:r w:rsidRPr="00104A5B">
              <w:rPr>
                <w:rFonts w:ascii="Open Sans" w:eastAsia="Times New Roman" w:hAnsi="Open Sans" w:cs="Open Sans"/>
                <w:color w:val="444444"/>
                <w:kern w:val="0"/>
                <w:sz w:val="21"/>
                <w:szCs w:val="21"/>
                <w:lang w:eastAsia="ru-RU"/>
                <w14:ligatures w14:val="none"/>
              </w:rPr>
              <w:br/>
              <w:t>Фазовый</w:t>
            </w:r>
            <w:r w:rsidRPr="00104A5B">
              <w:rPr>
                <w:rFonts w:ascii="Open Sans" w:eastAsia="Times New Roman" w:hAnsi="Open Sans" w:cs="Open Sans"/>
                <w:color w:val="444444"/>
                <w:kern w:val="0"/>
                <w:sz w:val="21"/>
                <w:szCs w:val="21"/>
                <w:lang w:eastAsia="ru-RU"/>
                <w14:ligatures w14:val="none"/>
              </w:rPr>
              <w:br/>
              <w:t>Частотный</w:t>
            </w:r>
            <w:r w:rsidRPr="00104A5B">
              <w:rPr>
                <w:rFonts w:ascii="Open Sans" w:eastAsia="Times New Roman" w:hAnsi="Open Sans" w:cs="Open Sans"/>
                <w:color w:val="444444"/>
                <w:kern w:val="0"/>
                <w:sz w:val="21"/>
                <w:szCs w:val="21"/>
                <w:lang w:eastAsia="ru-RU"/>
                <w14:ligatures w14:val="none"/>
              </w:rPr>
              <w:br/>
              <w:t>Временной</w:t>
            </w:r>
            <w:r w:rsidRPr="00104A5B">
              <w:rPr>
                <w:rFonts w:ascii="Open Sans" w:eastAsia="Times New Roman" w:hAnsi="Open Sans" w:cs="Open Sans"/>
                <w:color w:val="444444"/>
                <w:kern w:val="0"/>
                <w:sz w:val="21"/>
                <w:szCs w:val="21"/>
                <w:lang w:eastAsia="ru-RU"/>
                <w14:ligatures w14:val="none"/>
              </w:rPr>
              <w:br/>
              <w:t>Поляризационный</w:t>
            </w:r>
            <w:r w:rsidRPr="00104A5B">
              <w:rPr>
                <w:rFonts w:ascii="Open Sans" w:eastAsia="Times New Roman" w:hAnsi="Open Sans" w:cs="Open Sans"/>
                <w:color w:val="444444"/>
                <w:kern w:val="0"/>
                <w:sz w:val="21"/>
                <w:szCs w:val="21"/>
                <w:lang w:eastAsia="ru-RU"/>
                <w14:ligatures w14:val="none"/>
              </w:rPr>
              <w:br/>
              <w:t>Геометрический</w:t>
            </w:r>
          </w:p>
        </w:tc>
        <w:tc>
          <w:tcPr>
            <w:tcW w:w="353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54B4915"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Детекторный (диодный)</w:t>
            </w:r>
            <w:r w:rsidRPr="00104A5B">
              <w:rPr>
                <w:rFonts w:ascii="Open Sans" w:eastAsia="Times New Roman" w:hAnsi="Open Sans" w:cs="Open Sans"/>
                <w:color w:val="444444"/>
                <w:kern w:val="0"/>
                <w:sz w:val="21"/>
                <w:szCs w:val="21"/>
                <w:lang w:eastAsia="ru-RU"/>
                <w14:ligatures w14:val="none"/>
              </w:rPr>
              <w:br/>
              <w:t>Болометрический</w:t>
            </w:r>
            <w:r w:rsidRPr="00104A5B">
              <w:rPr>
                <w:rFonts w:ascii="Open Sans" w:eastAsia="Times New Roman" w:hAnsi="Open Sans" w:cs="Open Sans"/>
                <w:color w:val="444444"/>
                <w:kern w:val="0"/>
                <w:sz w:val="21"/>
                <w:szCs w:val="21"/>
                <w:lang w:eastAsia="ru-RU"/>
                <w14:ligatures w14:val="none"/>
              </w:rPr>
              <w:br/>
              <w:t>Термисторный</w:t>
            </w:r>
            <w:r w:rsidRPr="00104A5B">
              <w:rPr>
                <w:rFonts w:ascii="Open Sans" w:eastAsia="Times New Roman" w:hAnsi="Open Sans" w:cs="Open Sans"/>
                <w:color w:val="444444"/>
                <w:kern w:val="0"/>
                <w:sz w:val="21"/>
                <w:szCs w:val="21"/>
                <w:lang w:eastAsia="ru-RU"/>
                <w14:ligatures w14:val="none"/>
              </w:rPr>
              <w:br/>
              <w:t>Интерференционный</w:t>
            </w:r>
            <w:r w:rsidRPr="00104A5B">
              <w:rPr>
                <w:rFonts w:ascii="Open Sans" w:eastAsia="Times New Roman" w:hAnsi="Open Sans" w:cs="Open Sans"/>
                <w:color w:val="444444"/>
                <w:kern w:val="0"/>
                <w:sz w:val="21"/>
                <w:szCs w:val="21"/>
                <w:lang w:eastAsia="ru-RU"/>
                <w14:ligatures w14:val="none"/>
              </w:rPr>
              <w:br/>
              <w:t>Голографический</w:t>
            </w:r>
            <w:r w:rsidRPr="00104A5B">
              <w:rPr>
                <w:rFonts w:ascii="Open Sans" w:eastAsia="Times New Roman" w:hAnsi="Open Sans" w:cs="Open Sans"/>
                <w:color w:val="444444"/>
                <w:kern w:val="0"/>
                <w:sz w:val="21"/>
                <w:szCs w:val="21"/>
                <w:lang w:eastAsia="ru-RU"/>
                <w14:ligatures w14:val="none"/>
              </w:rPr>
              <w:br/>
              <w:t>Жидких кристаллов</w:t>
            </w:r>
            <w:r w:rsidRPr="00104A5B">
              <w:rPr>
                <w:rFonts w:ascii="Open Sans" w:eastAsia="Times New Roman" w:hAnsi="Open Sans" w:cs="Open Sans"/>
                <w:color w:val="444444"/>
                <w:kern w:val="0"/>
                <w:sz w:val="21"/>
                <w:szCs w:val="21"/>
                <w:lang w:eastAsia="ru-RU"/>
                <w14:ligatures w14:val="none"/>
              </w:rPr>
              <w:br/>
              <w:t>Термобумаг</w:t>
            </w:r>
            <w:r w:rsidRPr="00104A5B">
              <w:rPr>
                <w:rFonts w:ascii="Open Sans" w:eastAsia="Times New Roman" w:hAnsi="Open Sans" w:cs="Open Sans"/>
                <w:color w:val="444444"/>
                <w:kern w:val="0"/>
                <w:sz w:val="21"/>
                <w:szCs w:val="21"/>
                <w:lang w:eastAsia="ru-RU"/>
                <w14:ligatures w14:val="none"/>
              </w:rPr>
              <w:br/>
              <w:t>Термолюминофоров</w:t>
            </w:r>
            <w:r w:rsidRPr="00104A5B">
              <w:rPr>
                <w:rFonts w:ascii="Open Sans" w:eastAsia="Times New Roman" w:hAnsi="Open Sans" w:cs="Open Sans"/>
                <w:color w:val="444444"/>
                <w:kern w:val="0"/>
                <w:sz w:val="21"/>
                <w:szCs w:val="21"/>
                <w:lang w:eastAsia="ru-RU"/>
                <w14:ligatures w14:val="none"/>
              </w:rPr>
              <w:br/>
              <w:t>Фотоуправляемых полупроводниковых пластин</w:t>
            </w:r>
            <w:r w:rsidRPr="00104A5B">
              <w:rPr>
                <w:rFonts w:ascii="Open Sans" w:eastAsia="Times New Roman" w:hAnsi="Open Sans" w:cs="Open Sans"/>
                <w:color w:val="444444"/>
                <w:kern w:val="0"/>
                <w:sz w:val="21"/>
                <w:szCs w:val="21"/>
                <w:lang w:eastAsia="ru-RU"/>
                <w14:ligatures w14:val="none"/>
              </w:rPr>
              <w:br/>
              <w:t>Калориметрический</w:t>
            </w:r>
          </w:p>
        </w:tc>
      </w:tr>
      <w:tr w:rsidR="00104A5B" w:rsidRPr="00104A5B" w14:paraId="3928E570" w14:textId="77777777" w:rsidTr="00104A5B">
        <w:tc>
          <w:tcPr>
            <w:tcW w:w="18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8E8864A"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lastRenderedPageBreak/>
              <w:t>Тепловой</w:t>
            </w:r>
          </w:p>
        </w:tc>
        <w:tc>
          <w:tcPr>
            <w:tcW w:w="219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B74C53C"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Тепловой контактный</w:t>
            </w:r>
            <w:r w:rsidRPr="00104A5B">
              <w:rPr>
                <w:rFonts w:ascii="Open Sans" w:eastAsia="Times New Roman" w:hAnsi="Open Sans" w:cs="Open Sans"/>
                <w:color w:val="444444"/>
                <w:kern w:val="0"/>
                <w:sz w:val="21"/>
                <w:szCs w:val="21"/>
                <w:lang w:eastAsia="ru-RU"/>
                <w14:ligatures w14:val="none"/>
              </w:rPr>
              <w:br/>
              <w:t>Конвективный</w:t>
            </w:r>
            <w:r w:rsidRPr="00104A5B">
              <w:rPr>
                <w:rFonts w:ascii="Open Sans" w:eastAsia="Times New Roman" w:hAnsi="Open Sans" w:cs="Open Sans"/>
                <w:color w:val="444444"/>
                <w:kern w:val="0"/>
                <w:sz w:val="21"/>
                <w:szCs w:val="21"/>
                <w:lang w:eastAsia="ru-RU"/>
                <w14:ligatures w14:val="none"/>
              </w:rPr>
              <w:br/>
              <w:t>Собственного излучения</w:t>
            </w:r>
          </w:p>
        </w:tc>
        <w:tc>
          <w:tcPr>
            <w:tcW w:w="250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9BF6E69"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Термометрический</w:t>
            </w:r>
            <w:r w:rsidRPr="00104A5B">
              <w:rPr>
                <w:rFonts w:ascii="Open Sans" w:eastAsia="Times New Roman" w:hAnsi="Open Sans" w:cs="Open Sans"/>
                <w:color w:val="444444"/>
                <w:kern w:val="0"/>
                <w:sz w:val="21"/>
                <w:szCs w:val="21"/>
                <w:lang w:eastAsia="ru-RU"/>
                <w14:ligatures w14:val="none"/>
              </w:rPr>
              <w:br/>
              <w:t>Теплометрический</w:t>
            </w:r>
          </w:p>
        </w:tc>
        <w:tc>
          <w:tcPr>
            <w:tcW w:w="353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FFB5CEF" w14:textId="77777777" w:rsidR="00104A5B" w:rsidRPr="00104A5B" w:rsidRDefault="00104A5B" w:rsidP="00104A5B">
            <w:pPr>
              <w:spacing w:after="225" w:line="240" w:lineRule="auto"/>
              <w:rPr>
                <w:rFonts w:ascii="Open Sans" w:eastAsia="Times New Roman" w:hAnsi="Open Sans" w:cs="Open Sans"/>
                <w:color w:val="444444"/>
                <w:kern w:val="0"/>
                <w:sz w:val="21"/>
                <w:szCs w:val="21"/>
                <w:lang w:eastAsia="ru-RU"/>
                <w14:ligatures w14:val="none"/>
              </w:rPr>
            </w:pPr>
            <w:r w:rsidRPr="00104A5B">
              <w:rPr>
                <w:rFonts w:ascii="Open Sans" w:eastAsia="Times New Roman" w:hAnsi="Open Sans" w:cs="Open Sans"/>
                <w:color w:val="444444"/>
                <w:kern w:val="0"/>
                <w:sz w:val="21"/>
                <w:szCs w:val="21"/>
                <w:lang w:eastAsia="ru-RU"/>
                <w14:ligatures w14:val="none"/>
              </w:rPr>
              <w:t>Пирометрический</w:t>
            </w:r>
            <w:r w:rsidRPr="00104A5B">
              <w:rPr>
                <w:rFonts w:ascii="Open Sans" w:eastAsia="Times New Roman" w:hAnsi="Open Sans" w:cs="Open Sans"/>
                <w:color w:val="444444"/>
                <w:kern w:val="0"/>
                <w:sz w:val="21"/>
                <w:szCs w:val="21"/>
                <w:lang w:eastAsia="ru-RU"/>
                <w14:ligatures w14:val="none"/>
              </w:rPr>
              <w:br/>
              <w:t>Жидких кристаллов</w:t>
            </w:r>
            <w:r w:rsidRPr="00104A5B">
              <w:rPr>
                <w:rFonts w:ascii="Open Sans" w:eastAsia="Times New Roman" w:hAnsi="Open Sans" w:cs="Open Sans"/>
                <w:color w:val="444444"/>
                <w:kern w:val="0"/>
                <w:sz w:val="21"/>
                <w:szCs w:val="21"/>
                <w:lang w:eastAsia="ru-RU"/>
                <w14:ligatures w14:val="none"/>
              </w:rPr>
              <w:br/>
              <w:t>Термокрасок</w:t>
            </w:r>
            <w:r w:rsidRPr="00104A5B">
              <w:rPr>
                <w:rFonts w:ascii="Open Sans" w:eastAsia="Times New Roman" w:hAnsi="Open Sans" w:cs="Open Sans"/>
                <w:color w:val="444444"/>
                <w:kern w:val="0"/>
                <w:sz w:val="21"/>
                <w:szCs w:val="21"/>
                <w:lang w:eastAsia="ru-RU"/>
                <w14:ligatures w14:val="none"/>
              </w:rPr>
              <w:br/>
              <w:t>Термобумаг</w:t>
            </w:r>
            <w:r w:rsidRPr="00104A5B">
              <w:rPr>
                <w:rFonts w:ascii="Open Sans" w:eastAsia="Times New Roman" w:hAnsi="Open Sans" w:cs="Open Sans"/>
                <w:color w:val="444444"/>
                <w:kern w:val="0"/>
                <w:sz w:val="21"/>
                <w:szCs w:val="21"/>
                <w:lang w:eastAsia="ru-RU"/>
                <w14:ligatures w14:val="none"/>
              </w:rPr>
              <w:br/>
              <w:t>Термолюминофоров</w:t>
            </w:r>
            <w:r w:rsidRPr="00104A5B">
              <w:rPr>
                <w:rFonts w:ascii="Open Sans" w:eastAsia="Times New Roman" w:hAnsi="Open Sans" w:cs="Open Sans"/>
                <w:color w:val="444444"/>
                <w:kern w:val="0"/>
                <w:sz w:val="21"/>
                <w:szCs w:val="21"/>
                <w:lang w:eastAsia="ru-RU"/>
                <w14:ligatures w14:val="none"/>
              </w:rPr>
              <w:br/>
              <w:t>Термозависимых параметров</w:t>
            </w:r>
            <w:r w:rsidRPr="00104A5B">
              <w:rPr>
                <w:rFonts w:ascii="Open Sans" w:eastAsia="Times New Roman" w:hAnsi="Open Sans" w:cs="Open Sans"/>
                <w:color w:val="444444"/>
                <w:kern w:val="0"/>
                <w:sz w:val="21"/>
                <w:szCs w:val="21"/>
                <w:lang w:eastAsia="ru-RU"/>
                <w14:ligatures w14:val="none"/>
              </w:rPr>
              <w:br/>
              <w:t>Оптический интерференционный</w:t>
            </w:r>
            <w:r w:rsidRPr="00104A5B">
              <w:rPr>
                <w:rFonts w:ascii="Open Sans" w:eastAsia="Times New Roman" w:hAnsi="Open Sans" w:cs="Open Sans"/>
                <w:color w:val="444444"/>
                <w:kern w:val="0"/>
                <w:sz w:val="21"/>
                <w:szCs w:val="21"/>
                <w:lang w:eastAsia="ru-RU"/>
                <w14:ligatures w14:val="none"/>
              </w:rPr>
              <w:br/>
              <w:t>Калориметрический</w:t>
            </w:r>
          </w:p>
        </w:tc>
      </w:tr>
    </w:tbl>
    <w:p w14:paraId="66B0D090" w14:textId="77777777" w:rsidR="007C20D2" w:rsidRPr="007C20D2" w:rsidRDefault="007C20D2" w:rsidP="007C20D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Продолжение таблицы 1.1</w:t>
      </w:r>
    </w:p>
    <w:tbl>
      <w:tblPr>
        <w:tblW w:w="10065" w:type="dxa"/>
        <w:tblInd w:w="-859"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842"/>
        <w:gridCol w:w="2215"/>
        <w:gridCol w:w="2464"/>
        <w:gridCol w:w="3544"/>
      </w:tblGrid>
      <w:tr w:rsidR="007C20D2" w:rsidRPr="007C20D2" w14:paraId="15D3A0B9" w14:textId="77777777" w:rsidTr="007C20D2">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83E22CB" w14:textId="77777777" w:rsidR="007C20D2" w:rsidRPr="007C20D2" w:rsidRDefault="007C20D2" w:rsidP="007C20D2">
            <w:pPr>
              <w:spacing w:after="0"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br/>
              <w:t>Оптический</w:t>
            </w:r>
          </w:p>
        </w:tc>
        <w:tc>
          <w:tcPr>
            <w:tcW w:w="221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2C99099"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Прошедшего излучения</w:t>
            </w:r>
            <w:r w:rsidRPr="007C20D2">
              <w:rPr>
                <w:rFonts w:ascii="Open Sans" w:eastAsia="Times New Roman" w:hAnsi="Open Sans" w:cs="Open Sans"/>
                <w:color w:val="444444"/>
                <w:kern w:val="0"/>
                <w:sz w:val="21"/>
                <w:szCs w:val="21"/>
                <w:lang w:eastAsia="ru-RU"/>
                <w14:ligatures w14:val="none"/>
              </w:rPr>
              <w:br/>
              <w:t>Отраженного излучения</w:t>
            </w:r>
            <w:r w:rsidRPr="007C20D2">
              <w:rPr>
                <w:rFonts w:ascii="Open Sans" w:eastAsia="Times New Roman" w:hAnsi="Open Sans" w:cs="Open Sans"/>
                <w:color w:val="444444"/>
                <w:kern w:val="0"/>
                <w:sz w:val="21"/>
                <w:szCs w:val="21"/>
                <w:lang w:eastAsia="ru-RU"/>
                <w14:ligatures w14:val="none"/>
              </w:rPr>
              <w:br/>
              <w:t>Рассеянного излучения</w:t>
            </w:r>
            <w:r w:rsidRPr="007C20D2">
              <w:rPr>
                <w:rFonts w:ascii="Open Sans" w:eastAsia="Times New Roman" w:hAnsi="Open Sans" w:cs="Open Sans"/>
                <w:color w:val="444444"/>
                <w:kern w:val="0"/>
                <w:sz w:val="21"/>
                <w:szCs w:val="21"/>
                <w:lang w:eastAsia="ru-RU"/>
                <w14:ligatures w14:val="none"/>
              </w:rPr>
              <w:br/>
              <w:t>Индуцированного излучения</w:t>
            </w:r>
          </w:p>
        </w:tc>
        <w:tc>
          <w:tcPr>
            <w:tcW w:w="246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9BD2908"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Амплитудный</w:t>
            </w:r>
            <w:r w:rsidRPr="007C20D2">
              <w:rPr>
                <w:rFonts w:ascii="Open Sans" w:eastAsia="Times New Roman" w:hAnsi="Open Sans" w:cs="Open Sans"/>
                <w:color w:val="444444"/>
                <w:kern w:val="0"/>
                <w:sz w:val="21"/>
                <w:szCs w:val="21"/>
                <w:lang w:eastAsia="ru-RU"/>
                <w14:ligatures w14:val="none"/>
              </w:rPr>
              <w:br/>
              <w:t>Фазовый</w:t>
            </w:r>
            <w:r w:rsidRPr="007C20D2">
              <w:rPr>
                <w:rFonts w:ascii="Open Sans" w:eastAsia="Times New Roman" w:hAnsi="Open Sans" w:cs="Open Sans"/>
                <w:color w:val="444444"/>
                <w:kern w:val="0"/>
                <w:sz w:val="21"/>
                <w:szCs w:val="21"/>
                <w:lang w:eastAsia="ru-RU"/>
                <w14:ligatures w14:val="none"/>
              </w:rPr>
              <w:br/>
              <w:t>Временной</w:t>
            </w:r>
            <w:r w:rsidRPr="007C20D2">
              <w:rPr>
                <w:rFonts w:ascii="Open Sans" w:eastAsia="Times New Roman" w:hAnsi="Open Sans" w:cs="Open Sans"/>
                <w:color w:val="444444"/>
                <w:kern w:val="0"/>
                <w:sz w:val="21"/>
                <w:szCs w:val="21"/>
                <w:lang w:eastAsia="ru-RU"/>
                <w14:ligatures w14:val="none"/>
              </w:rPr>
              <w:br/>
              <w:t>Частотный</w:t>
            </w:r>
            <w:r w:rsidRPr="007C20D2">
              <w:rPr>
                <w:rFonts w:ascii="Open Sans" w:eastAsia="Times New Roman" w:hAnsi="Open Sans" w:cs="Open Sans"/>
                <w:color w:val="444444"/>
                <w:kern w:val="0"/>
                <w:sz w:val="21"/>
                <w:szCs w:val="21"/>
                <w:lang w:eastAsia="ru-RU"/>
                <w14:ligatures w14:val="none"/>
              </w:rPr>
              <w:br/>
              <w:t>Поляризационный</w:t>
            </w:r>
            <w:r w:rsidRPr="007C20D2">
              <w:rPr>
                <w:rFonts w:ascii="Open Sans" w:eastAsia="Times New Roman" w:hAnsi="Open Sans" w:cs="Open Sans"/>
                <w:color w:val="444444"/>
                <w:kern w:val="0"/>
                <w:sz w:val="21"/>
                <w:szCs w:val="21"/>
                <w:lang w:eastAsia="ru-RU"/>
                <w14:ligatures w14:val="none"/>
              </w:rPr>
              <w:br/>
              <w:t>Геометрический</w:t>
            </w:r>
            <w:r w:rsidRPr="007C20D2">
              <w:rPr>
                <w:rFonts w:ascii="Open Sans" w:eastAsia="Times New Roman" w:hAnsi="Open Sans" w:cs="Open Sans"/>
                <w:color w:val="444444"/>
                <w:kern w:val="0"/>
                <w:sz w:val="21"/>
                <w:szCs w:val="21"/>
                <w:lang w:eastAsia="ru-RU"/>
                <w14:ligatures w14:val="none"/>
              </w:rPr>
              <w:br/>
              <w:t>Спектральный</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8DBDDAB"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Интерференционный</w:t>
            </w:r>
            <w:r w:rsidRPr="007C20D2">
              <w:rPr>
                <w:rFonts w:ascii="Open Sans" w:eastAsia="Times New Roman" w:hAnsi="Open Sans" w:cs="Open Sans"/>
                <w:color w:val="444444"/>
                <w:kern w:val="0"/>
                <w:sz w:val="21"/>
                <w:szCs w:val="21"/>
                <w:lang w:eastAsia="ru-RU"/>
                <w14:ligatures w14:val="none"/>
              </w:rPr>
              <w:br/>
              <w:t>Голографический</w:t>
            </w:r>
            <w:r w:rsidRPr="007C20D2">
              <w:rPr>
                <w:rFonts w:ascii="Open Sans" w:eastAsia="Times New Roman" w:hAnsi="Open Sans" w:cs="Open Sans"/>
                <w:color w:val="444444"/>
                <w:kern w:val="0"/>
                <w:sz w:val="21"/>
                <w:szCs w:val="21"/>
                <w:lang w:eastAsia="ru-RU"/>
                <w14:ligatures w14:val="none"/>
              </w:rPr>
              <w:br/>
              <w:t>Рефрактометрический</w:t>
            </w:r>
            <w:r w:rsidRPr="007C20D2">
              <w:rPr>
                <w:rFonts w:ascii="Open Sans" w:eastAsia="Times New Roman" w:hAnsi="Open Sans" w:cs="Open Sans"/>
                <w:color w:val="444444"/>
                <w:kern w:val="0"/>
                <w:sz w:val="21"/>
                <w:szCs w:val="21"/>
                <w:lang w:eastAsia="ru-RU"/>
                <w14:ligatures w14:val="none"/>
              </w:rPr>
              <w:br/>
              <w:t>Визуально-оптический</w:t>
            </w:r>
          </w:p>
        </w:tc>
      </w:tr>
      <w:tr w:rsidR="007C20D2" w:rsidRPr="007C20D2" w14:paraId="503AAA81" w14:textId="77777777" w:rsidTr="007C20D2">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2C98423"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Радиациионный</w:t>
            </w:r>
          </w:p>
        </w:tc>
        <w:tc>
          <w:tcPr>
            <w:tcW w:w="221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7DF35FD"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Прошедшего излучения</w:t>
            </w:r>
            <w:r w:rsidRPr="007C20D2">
              <w:rPr>
                <w:rFonts w:ascii="Open Sans" w:eastAsia="Times New Roman" w:hAnsi="Open Sans" w:cs="Open Sans"/>
                <w:color w:val="444444"/>
                <w:kern w:val="0"/>
                <w:sz w:val="21"/>
                <w:szCs w:val="21"/>
                <w:lang w:eastAsia="ru-RU"/>
                <w14:ligatures w14:val="none"/>
              </w:rPr>
              <w:br/>
              <w:t>Рассеянного излучения</w:t>
            </w:r>
            <w:r w:rsidRPr="007C20D2">
              <w:rPr>
                <w:rFonts w:ascii="Open Sans" w:eastAsia="Times New Roman" w:hAnsi="Open Sans" w:cs="Open Sans"/>
                <w:color w:val="444444"/>
                <w:kern w:val="0"/>
                <w:sz w:val="21"/>
                <w:szCs w:val="21"/>
                <w:lang w:eastAsia="ru-RU"/>
                <w14:ligatures w14:val="none"/>
              </w:rPr>
              <w:br/>
              <w:t>Активационного анализа</w:t>
            </w:r>
            <w:r w:rsidRPr="007C20D2">
              <w:rPr>
                <w:rFonts w:ascii="Open Sans" w:eastAsia="Times New Roman" w:hAnsi="Open Sans" w:cs="Open Sans"/>
                <w:color w:val="444444"/>
                <w:kern w:val="0"/>
                <w:sz w:val="21"/>
                <w:szCs w:val="21"/>
                <w:lang w:eastAsia="ru-RU"/>
                <w14:ligatures w14:val="none"/>
              </w:rPr>
              <w:br/>
              <w:t>Характеристического излучения</w:t>
            </w:r>
            <w:r w:rsidRPr="007C20D2">
              <w:rPr>
                <w:rFonts w:ascii="Open Sans" w:eastAsia="Times New Roman" w:hAnsi="Open Sans" w:cs="Open Sans"/>
                <w:color w:val="444444"/>
                <w:kern w:val="0"/>
                <w:sz w:val="21"/>
                <w:szCs w:val="21"/>
                <w:lang w:eastAsia="ru-RU"/>
                <w14:ligatures w14:val="none"/>
              </w:rPr>
              <w:br/>
              <w:t>Автоэмиссионный</w:t>
            </w:r>
          </w:p>
        </w:tc>
        <w:tc>
          <w:tcPr>
            <w:tcW w:w="246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9270DBF"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Плотности потока энергии</w:t>
            </w:r>
            <w:r w:rsidRPr="007C20D2">
              <w:rPr>
                <w:rFonts w:ascii="Open Sans" w:eastAsia="Times New Roman" w:hAnsi="Open Sans" w:cs="Open Sans"/>
                <w:color w:val="444444"/>
                <w:kern w:val="0"/>
                <w:sz w:val="21"/>
                <w:szCs w:val="21"/>
                <w:lang w:eastAsia="ru-RU"/>
                <w14:ligatures w14:val="none"/>
              </w:rPr>
              <w:br/>
              <w:t>Спектральный</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A46FBE7"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Сцинтилляционный</w:t>
            </w:r>
            <w:r w:rsidRPr="007C20D2">
              <w:rPr>
                <w:rFonts w:ascii="Open Sans" w:eastAsia="Times New Roman" w:hAnsi="Open Sans" w:cs="Open Sans"/>
                <w:color w:val="444444"/>
                <w:kern w:val="0"/>
                <w:sz w:val="21"/>
                <w:szCs w:val="21"/>
                <w:lang w:eastAsia="ru-RU"/>
                <w14:ligatures w14:val="none"/>
              </w:rPr>
              <w:br/>
              <w:t>Ионизационный</w:t>
            </w:r>
            <w:r w:rsidRPr="007C20D2">
              <w:rPr>
                <w:rFonts w:ascii="Open Sans" w:eastAsia="Times New Roman" w:hAnsi="Open Sans" w:cs="Open Sans"/>
                <w:color w:val="444444"/>
                <w:kern w:val="0"/>
                <w:sz w:val="21"/>
                <w:szCs w:val="21"/>
                <w:lang w:eastAsia="ru-RU"/>
                <w14:ligatures w14:val="none"/>
              </w:rPr>
              <w:br/>
              <w:t>Вторичных электронов</w:t>
            </w:r>
            <w:r w:rsidRPr="007C20D2">
              <w:rPr>
                <w:rFonts w:ascii="Open Sans" w:eastAsia="Times New Roman" w:hAnsi="Open Sans" w:cs="Open Sans"/>
                <w:color w:val="444444"/>
                <w:kern w:val="0"/>
                <w:sz w:val="21"/>
                <w:szCs w:val="21"/>
                <w:lang w:eastAsia="ru-RU"/>
                <w14:ligatures w14:val="none"/>
              </w:rPr>
              <w:br/>
              <w:t>Радиографический</w:t>
            </w:r>
            <w:r w:rsidRPr="007C20D2">
              <w:rPr>
                <w:rFonts w:ascii="Open Sans" w:eastAsia="Times New Roman" w:hAnsi="Open Sans" w:cs="Open Sans"/>
                <w:color w:val="444444"/>
                <w:kern w:val="0"/>
                <w:sz w:val="21"/>
                <w:szCs w:val="21"/>
                <w:lang w:eastAsia="ru-RU"/>
                <w14:ligatures w14:val="none"/>
              </w:rPr>
              <w:br/>
              <w:t>Радиоскопический</w:t>
            </w:r>
          </w:p>
        </w:tc>
      </w:tr>
      <w:tr w:rsidR="007C20D2" w:rsidRPr="007C20D2" w14:paraId="623A49D1" w14:textId="77777777" w:rsidTr="007C20D2">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5ABEBAE"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Акустический</w:t>
            </w:r>
          </w:p>
        </w:tc>
        <w:tc>
          <w:tcPr>
            <w:tcW w:w="221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F7D63BA"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Прошедшего излучения</w:t>
            </w:r>
            <w:r w:rsidRPr="007C20D2">
              <w:rPr>
                <w:rFonts w:ascii="Open Sans" w:eastAsia="Times New Roman" w:hAnsi="Open Sans" w:cs="Open Sans"/>
                <w:color w:val="444444"/>
                <w:kern w:val="0"/>
                <w:sz w:val="21"/>
                <w:szCs w:val="21"/>
                <w:lang w:eastAsia="ru-RU"/>
                <w14:ligatures w14:val="none"/>
              </w:rPr>
              <w:br/>
              <w:t>Отраженного излучения</w:t>
            </w:r>
            <w:r w:rsidRPr="007C20D2">
              <w:rPr>
                <w:rFonts w:ascii="Open Sans" w:eastAsia="Times New Roman" w:hAnsi="Open Sans" w:cs="Open Sans"/>
                <w:color w:val="444444"/>
                <w:kern w:val="0"/>
                <w:sz w:val="21"/>
                <w:szCs w:val="21"/>
                <w:lang w:eastAsia="ru-RU"/>
                <w14:ligatures w14:val="none"/>
              </w:rPr>
              <w:br/>
              <w:t>Резонансный</w:t>
            </w:r>
            <w:r w:rsidRPr="007C20D2">
              <w:rPr>
                <w:rFonts w:ascii="Open Sans" w:eastAsia="Times New Roman" w:hAnsi="Open Sans" w:cs="Open Sans"/>
                <w:color w:val="444444"/>
                <w:kern w:val="0"/>
                <w:sz w:val="21"/>
                <w:szCs w:val="21"/>
                <w:lang w:eastAsia="ru-RU"/>
                <w14:ligatures w14:val="none"/>
              </w:rPr>
              <w:br/>
              <w:t>Импедансный</w:t>
            </w:r>
            <w:r w:rsidRPr="007C20D2">
              <w:rPr>
                <w:rFonts w:ascii="Open Sans" w:eastAsia="Times New Roman" w:hAnsi="Open Sans" w:cs="Open Sans"/>
                <w:color w:val="444444"/>
                <w:kern w:val="0"/>
                <w:sz w:val="21"/>
                <w:szCs w:val="21"/>
                <w:lang w:eastAsia="ru-RU"/>
                <w14:ligatures w14:val="none"/>
              </w:rPr>
              <w:br/>
              <w:t>Собственных колебаний</w:t>
            </w:r>
            <w:r w:rsidRPr="007C20D2">
              <w:rPr>
                <w:rFonts w:ascii="Open Sans" w:eastAsia="Times New Roman" w:hAnsi="Open Sans" w:cs="Open Sans"/>
                <w:color w:val="444444"/>
                <w:kern w:val="0"/>
                <w:sz w:val="21"/>
                <w:szCs w:val="21"/>
                <w:lang w:eastAsia="ru-RU"/>
                <w14:ligatures w14:val="none"/>
              </w:rPr>
              <w:br/>
              <w:t>Акустико-эмиссионный</w:t>
            </w:r>
          </w:p>
        </w:tc>
        <w:tc>
          <w:tcPr>
            <w:tcW w:w="246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867B79A"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Амплитудный</w:t>
            </w:r>
            <w:r w:rsidRPr="007C20D2">
              <w:rPr>
                <w:rFonts w:ascii="Open Sans" w:eastAsia="Times New Roman" w:hAnsi="Open Sans" w:cs="Open Sans"/>
                <w:color w:val="444444"/>
                <w:kern w:val="0"/>
                <w:sz w:val="21"/>
                <w:szCs w:val="21"/>
                <w:lang w:eastAsia="ru-RU"/>
                <w14:ligatures w14:val="none"/>
              </w:rPr>
              <w:br/>
              <w:t>Фазовый</w:t>
            </w:r>
            <w:r w:rsidRPr="007C20D2">
              <w:rPr>
                <w:rFonts w:ascii="Open Sans" w:eastAsia="Times New Roman" w:hAnsi="Open Sans" w:cs="Open Sans"/>
                <w:color w:val="444444"/>
                <w:kern w:val="0"/>
                <w:sz w:val="21"/>
                <w:szCs w:val="21"/>
                <w:lang w:eastAsia="ru-RU"/>
                <w14:ligatures w14:val="none"/>
              </w:rPr>
              <w:br/>
              <w:t>Временной</w:t>
            </w:r>
            <w:r w:rsidRPr="007C20D2">
              <w:rPr>
                <w:rFonts w:ascii="Open Sans" w:eastAsia="Times New Roman" w:hAnsi="Open Sans" w:cs="Open Sans"/>
                <w:color w:val="444444"/>
                <w:kern w:val="0"/>
                <w:sz w:val="21"/>
                <w:szCs w:val="21"/>
                <w:lang w:eastAsia="ru-RU"/>
                <w14:ligatures w14:val="none"/>
              </w:rPr>
              <w:br/>
              <w:t>Частотный</w:t>
            </w:r>
            <w:r w:rsidRPr="007C20D2">
              <w:rPr>
                <w:rFonts w:ascii="Open Sans" w:eastAsia="Times New Roman" w:hAnsi="Open Sans" w:cs="Open Sans"/>
                <w:color w:val="444444"/>
                <w:kern w:val="0"/>
                <w:sz w:val="21"/>
                <w:szCs w:val="21"/>
                <w:lang w:eastAsia="ru-RU"/>
                <w14:ligatures w14:val="none"/>
              </w:rPr>
              <w:br/>
              <w:t>Спектральный</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DFB7166"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Пьезоэлектрический</w:t>
            </w:r>
            <w:r w:rsidRPr="007C20D2">
              <w:rPr>
                <w:rFonts w:ascii="Open Sans" w:eastAsia="Times New Roman" w:hAnsi="Open Sans" w:cs="Open Sans"/>
                <w:color w:val="444444"/>
                <w:kern w:val="0"/>
                <w:sz w:val="21"/>
                <w:szCs w:val="21"/>
                <w:lang w:eastAsia="ru-RU"/>
                <w14:ligatures w14:val="none"/>
              </w:rPr>
              <w:br/>
              <w:t>Электромагнитно-акустический</w:t>
            </w:r>
            <w:r w:rsidRPr="007C20D2">
              <w:rPr>
                <w:rFonts w:ascii="Open Sans" w:eastAsia="Times New Roman" w:hAnsi="Open Sans" w:cs="Open Sans"/>
                <w:color w:val="444444"/>
                <w:kern w:val="0"/>
                <w:sz w:val="21"/>
                <w:szCs w:val="21"/>
                <w:lang w:eastAsia="ru-RU"/>
                <w14:ligatures w14:val="none"/>
              </w:rPr>
              <w:br/>
              <w:t>Микрофонный</w:t>
            </w:r>
            <w:r w:rsidRPr="007C20D2">
              <w:rPr>
                <w:rFonts w:ascii="Open Sans" w:eastAsia="Times New Roman" w:hAnsi="Open Sans" w:cs="Open Sans"/>
                <w:color w:val="444444"/>
                <w:kern w:val="0"/>
                <w:sz w:val="21"/>
                <w:szCs w:val="21"/>
                <w:lang w:eastAsia="ru-RU"/>
                <w14:ligatures w14:val="none"/>
              </w:rPr>
              <w:br/>
              <w:t>Порошковый</w:t>
            </w:r>
          </w:p>
        </w:tc>
      </w:tr>
      <w:tr w:rsidR="007C20D2" w:rsidRPr="007C20D2" w14:paraId="1BE3BD02" w14:textId="77777777" w:rsidTr="007C20D2">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12EC930"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Проникающими веществами</w:t>
            </w:r>
          </w:p>
        </w:tc>
        <w:tc>
          <w:tcPr>
            <w:tcW w:w="221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AE936B7"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Молекулярный</w:t>
            </w:r>
            <w:r w:rsidRPr="007C20D2">
              <w:rPr>
                <w:rFonts w:ascii="Open Sans" w:eastAsia="Times New Roman" w:hAnsi="Open Sans" w:cs="Open Sans"/>
                <w:color w:val="444444"/>
                <w:kern w:val="0"/>
                <w:sz w:val="21"/>
                <w:szCs w:val="21"/>
                <w:lang w:eastAsia="ru-RU"/>
                <w14:ligatures w14:val="none"/>
              </w:rPr>
              <w:br/>
              <w:t>Капиллярный</w:t>
            </w:r>
            <w:r w:rsidRPr="007C20D2">
              <w:rPr>
                <w:rFonts w:ascii="Open Sans" w:eastAsia="Times New Roman" w:hAnsi="Open Sans" w:cs="Open Sans"/>
                <w:color w:val="444444"/>
                <w:kern w:val="0"/>
                <w:sz w:val="21"/>
                <w:szCs w:val="21"/>
                <w:lang w:eastAsia="ru-RU"/>
                <w14:ligatures w14:val="none"/>
              </w:rPr>
              <w:br/>
              <w:t>Молекулярный</w:t>
            </w:r>
            <w:r w:rsidRPr="007C20D2">
              <w:rPr>
                <w:rFonts w:ascii="Open Sans" w:eastAsia="Times New Roman" w:hAnsi="Open Sans" w:cs="Open Sans"/>
                <w:color w:val="444444"/>
                <w:kern w:val="0"/>
                <w:sz w:val="21"/>
                <w:szCs w:val="21"/>
                <w:lang w:eastAsia="ru-RU"/>
                <w14:ligatures w14:val="none"/>
              </w:rPr>
              <w:br/>
              <w:t>Течеискания</w:t>
            </w:r>
          </w:p>
        </w:tc>
        <w:tc>
          <w:tcPr>
            <w:tcW w:w="246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FE4E31F"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Жидкостный</w:t>
            </w:r>
            <w:r w:rsidRPr="007C20D2">
              <w:rPr>
                <w:rFonts w:ascii="Open Sans" w:eastAsia="Times New Roman" w:hAnsi="Open Sans" w:cs="Open Sans"/>
                <w:color w:val="444444"/>
                <w:kern w:val="0"/>
                <w:sz w:val="21"/>
                <w:szCs w:val="21"/>
                <w:lang w:eastAsia="ru-RU"/>
                <w14:ligatures w14:val="none"/>
              </w:rPr>
              <w:br/>
              <w:t>Газовый</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AE9F188" w14:textId="77777777" w:rsidR="007C20D2" w:rsidRPr="007C20D2" w:rsidRDefault="007C20D2" w:rsidP="007C20D2">
            <w:pPr>
              <w:spacing w:after="225" w:line="240" w:lineRule="auto"/>
              <w:rPr>
                <w:rFonts w:ascii="Open Sans" w:eastAsia="Times New Roman" w:hAnsi="Open Sans" w:cs="Open Sans"/>
                <w:color w:val="444444"/>
                <w:kern w:val="0"/>
                <w:sz w:val="21"/>
                <w:szCs w:val="21"/>
                <w:lang w:eastAsia="ru-RU"/>
                <w14:ligatures w14:val="none"/>
              </w:rPr>
            </w:pPr>
            <w:r w:rsidRPr="007C20D2">
              <w:rPr>
                <w:rFonts w:ascii="Open Sans" w:eastAsia="Times New Roman" w:hAnsi="Open Sans" w:cs="Open Sans"/>
                <w:color w:val="444444"/>
                <w:kern w:val="0"/>
                <w:sz w:val="21"/>
                <w:szCs w:val="21"/>
                <w:lang w:eastAsia="ru-RU"/>
                <w14:ligatures w14:val="none"/>
              </w:rPr>
              <w:t>Яркостный (ахроматический)</w:t>
            </w:r>
            <w:r w:rsidRPr="007C20D2">
              <w:rPr>
                <w:rFonts w:ascii="Open Sans" w:eastAsia="Times New Roman" w:hAnsi="Open Sans" w:cs="Open Sans"/>
                <w:color w:val="444444"/>
                <w:kern w:val="0"/>
                <w:sz w:val="21"/>
                <w:szCs w:val="21"/>
                <w:lang w:eastAsia="ru-RU"/>
                <w14:ligatures w14:val="none"/>
              </w:rPr>
              <w:br/>
              <w:t>Цветной (хроматический)</w:t>
            </w:r>
            <w:r w:rsidRPr="007C20D2">
              <w:rPr>
                <w:rFonts w:ascii="Open Sans" w:eastAsia="Times New Roman" w:hAnsi="Open Sans" w:cs="Open Sans"/>
                <w:color w:val="444444"/>
                <w:kern w:val="0"/>
                <w:sz w:val="21"/>
                <w:szCs w:val="21"/>
                <w:lang w:eastAsia="ru-RU"/>
                <w14:ligatures w14:val="none"/>
              </w:rPr>
              <w:br/>
              <w:t>Люминесцентный</w:t>
            </w:r>
            <w:r w:rsidRPr="007C20D2">
              <w:rPr>
                <w:rFonts w:ascii="Open Sans" w:eastAsia="Times New Roman" w:hAnsi="Open Sans" w:cs="Open Sans"/>
                <w:color w:val="444444"/>
                <w:kern w:val="0"/>
                <w:sz w:val="21"/>
                <w:szCs w:val="21"/>
                <w:lang w:eastAsia="ru-RU"/>
                <w14:ligatures w14:val="none"/>
              </w:rPr>
              <w:br/>
              <w:t>Люминесцентно-цветной</w:t>
            </w:r>
            <w:r w:rsidRPr="007C20D2">
              <w:rPr>
                <w:rFonts w:ascii="Open Sans" w:eastAsia="Times New Roman" w:hAnsi="Open Sans" w:cs="Open Sans"/>
                <w:color w:val="444444"/>
                <w:kern w:val="0"/>
                <w:sz w:val="21"/>
                <w:szCs w:val="21"/>
                <w:lang w:eastAsia="ru-RU"/>
                <w14:ligatures w14:val="none"/>
              </w:rPr>
              <w:br/>
              <w:t>Фильтрующихся частиц Масс-спектрометрический</w:t>
            </w:r>
            <w:r w:rsidRPr="007C20D2">
              <w:rPr>
                <w:rFonts w:ascii="Open Sans" w:eastAsia="Times New Roman" w:hAnsi="Open Sans" w:cs="Open Sans"/>
                <w:color w:val="444444"/>
                <w:kern w:val="0"/>
                <w:sz w:val="21"/>
                <w:szCs w:val="21"/>
                <w:lang w:eastAsia="ru-RU"/>
                <w14:ligatures w14:val="none"/>
              </w:rPr>
              <w:br/>
              <w:t>Пузырьковый</w:t>
            </w:r>
            <w:r w:rsidRPr="007C20D2">
              <w:rPr>
                <w:rFonts w:ascii="Open Sans" w:eastAsia="Times New Roman" w:hAnsi="Open Sans" w:cs="Open Sans"/>
                <w:color w:val="444444"/>
                <w:kern w:val="0"/>
                <w:sz w:val="21"/>
                <w:szCs w:val="21"/>
                <w:lang w:eastAsia="ru-RU"/>
                <w14:ligatures w14:val="none"/>
              </w:rPr>
              <w:br/>
              <w:t>Манометрический</w:t>
            </w:r>
            <w:r w:rsidRPr="007C20D2">
              <w:rPr>
                <w:rFonts w:ascii="Open Sans" w:eastAsia="Times New Roman" w:hAnsi="Open Sans" w:cs="Open Sans"/>
                <w:color w:val="444444"/>
                <w:kern w:val="0"/>
                <w:sz w:val="21"/>
                <w:szCs w:val="21"/>
                <w:lang w:eastAsia="ru-RU"/>
                <w14:ligatures w14:val="none"/>
              </w:rPr>
              <w:br/>
              <w:t>Галогенный</w:t>
            </w:r>
            <w:r w:rsidRPr="007C20D2">
              <w:rPr>
                <w:rFonts w:ascii="Open Sans" w:eastAsia="Times New Roman" w:hAnsi="Open Sans" w:cs="Open Sans"/>
                <w:color w:val="444444"/>
                <w:kern w:val="0"/>
                <w:sz w:val="21"/>
                <w:szCs w:val="21"/>
                <w:lang w:eastAsia="ru-RU"/>
                <w14:ligatures w14:val="none"/>
              </w:rPr>
              <w:br/>
            </w:r>
            <w:r w:rsidRPr="007C20D2">
              <w:rPr>
                <w:rFonts w:ascii="Open Sans" w:eastAsia="Times New Roman" w:hAnsi="Open Sans" w:cs="Open Sans"/>
                <w:color w:val="444444"/>
                <w:kern w:val="0"/>
                <w:sz w:val="21"/>
                <w:szCs w:val="21"/>
                <w:lang w:eastAsia="ru-RU"/>
                <w14:ligatures w14:val="none"/>
              </w:rPr>
              <w:lastRenderedPageBreak/>
              <w:t>Радиоактивный</w:t>
            </w:r>
            <w:r w:rsidRPr="007C20D2">
              <w:rPr>
                <w:rFonts w:ascii="Open Sans" w:eastAsia="Times New Roman" w:hAnsi="Open Sans" w:cs="Open Sans"/>
                <w:color w:val="444444"/>
                <w:kern w:val="0"/>
                <w:sz w:val="21"/>
                <w:szCs w:val="21"/>
                <w:lang w:eastAsia="ru-RU"/>
                <w14:ligatures w14:val="none"/>
              </w:rPr>
              <w:br/>
              <w:t>Катарометрический</w:t>
            </w:r>
            <w:r w:rsidRPr="007C20D2">
              <w:rPr>
                <w:rFonts w:ascii="Open Sans" w:eastAsia="Times New Roman" w:hAnsi="Open Sans" w:cs="Open Sans"/>
                <w:color w:val="444444"/>
                <w:kern w:val="0"/>
                <w:sz w:val="21"/>
                <w:szCs w:val="21"/>
                <w:lang w:eastAsia="ru-RU"/>
                <w14:ligatures w14:val="none"/>
              </w:rPr>
              <w:br/>
              <w:t>Высокочастотного разряда</w:t>
            </w:r>
            <w:r w:rsidRPr="007C20D2">
              <w:rPr>
                <w:rFonts w:ascii="Open Sans" w:eastAsia="Times New Roman" w:hAnsi="Open Sans" w:cs="Open Sans"/>
                <w:color w:val="444444"/>
                <w:kern w:val="0"/>
                <w:sz w:val="21"/>
                <w:szCs w:val="21"/>
                <w:lang w:eastAsia="ru-RU"/>
                <w14:ligatures w14:val="none"/>
              </w:rPr>
              <w:br/>
              <w:t>Химический</w:t>
            </w:r>
            <w:r w:rsidRPr="007C20D2">
              <w:rPr>
                <w:rFonts w:ascii="Open Sans" w:eastAsia="Times New Roman" w:hAnsi="Open Sans" w:cs="Open Sans"/>
                <w:color w:val="444444"/>
                <w:kern w:val="0"/>
                <w:sz w:val="21"/>
                <w:szCs w:val="21"/>
                <w:lang w:eastAsia="ru-RU"/>
                <w14:ligatures w14:val="none"/>
              </w:rPr>
              <w:br/>
              <w:t>Остаточных устойчивых деформаций</w:t>
            </w:r>
            <w:r w:rsidRPr="007C20D2">
              <w:rPr>
                <w:rFonts w:ascii="Open Sans" w:eastAsia="Times New Roman" w:hAnsi="Open Sans" w:cs="Open Sans"/>
                <w:color w:val="444444"/>
                <w:kern w:val="0"/>
                <w:sz w:val="21"/>
                <w:szCs w:val="21"/>
                <w:lang w:eastAsia="ru-RU"/>
                <w14:ligatures w14:val="none"/>
              </w:rPr>
              <w:br/>
              <w:t>Акустический</w:t>
            </w:r>
          </w:p>
        </w:tc>
      </w:tr>
    </w:tbl>
    <w:p w14:paraId="690800FD" w14:textId="370749F6" w:rsidR="00730844" w:rsidRDefault="00730844" w:rsidP="00730844">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lastRenderedPageBreak/>
        <w:t>Магнитожесткие материалы (закаленная сталь) по сравнению с магнитомягкими материалами (незакаленная сталь) имеют большую коэрцитивную силу </w:t>
      </w:r>
      <w:r>
        <w:rPr>
          <w:rStyle w:val="a4"/>
          <w:rFonts w:ascii="Open Sans" w:hAnsi="Open Sans" w:cs="Open Sans"/>
          <w:color w:val="DD0055"/>
          <w:sz w:val="21"/>
          <w:szCs w:val="21"/>
        </w:rPr>
        <w:t>Нс</w:t>
      </w:r>
      <w:r>
        <w:rPr>
          <w:rFonts w:ascii="Open Sans" w:hAnsi="Open Sans" w:cs="Open Sans"/>
          <w:color w:val="444444"/>
          <w:sz w:val="21"/>
          <w:szCs w:val="21"/>
        </w:rPr>
        <w:t>, меньшую магнитную проницаемость μа = В/Н и намагниченность </w:t>
      </w:r>
      <w:r>
        <w:rPr>
          <w:rStyle w:val="a4"/>
          <w:rFonts w:ascii="Open Sans" w:hAnsi="Open Sans" w:cs="Open Sans"/>
          <w:color w:val="DD0055"/>
          <w:sz w:val="21"/>
          <w:szCs w:val="21"/>
        </w:rPr>
        <w:t>I</w:t>
      </w:r>
      <w:r>
        <w:rPr>
          <w:rFonts w:ascii="Open Sans" w:hAnsi="Open Sans" w:cs="Open Sans"/>
          <w:color w:val="444444"/>
          <w:sz w:val="21"/>
          <w:szCs w:val="21"/>
        </w:rPr>
        <w:t> = (В/μ0) - Н, μ0 = 4π•107 (В•с) : (А•м) — магнитная постоянная. Обычно μа и </w:t>
      </w:r>
      <w:r>
        <w:rPr>
          <w:rStyle w:val="a4"/>
          <w:rFonts w:ascii="Open Sans" w:hAnsi="Open Sans" w:cs="Open Sans"/>
          <w:color w:val="DD0055"/>
          <w:sz w:val="21"/>
          <w:szCs w:val="21"/>
        </w:rPr>
        <w:t>I</w:t>
      </w:r>
      <w:r>
        <w:rPr>
          <w:rFonts w:ascii="Open Sans" w:hAnsi="Open Sans" w:cs="Open Sans"/>
          <w:color w:val="444444"/>
          <w:sz w:val="21"/>
          <w:szCs w:val="21"/>
        </w:rPr>
        <w:t> для характеристики материала ферромагнетика измеряют при малой напряженности намагничивающего поля </w:t>
      </w:r>
      <w:r>
        <w:rPr>
          <w:rStyle w:val="a4"/>
          <w:rFonts w:ascii="Open Sans" w:hAnsi="Open Sans" w:cs="Open Sans"/>
          <w:color w:val="DD0055"/>
          <w:sz w:val="21"/>
          <w:szCs w:val="21"/>
        </w:rPr>
        <w:t>Н</w:t>
      </w:r>
      <w:r>
        <w:rPr>
          <w:rFonts w:ascii="Open Sans" w:hAnsi="Open Sans" w:cs="Open Sans"/>
          <w:color w:val="444444"/>
          <w:sz w:val="21"/>
          <w:szCs w:val="21"/>
        </w:rPr>
        <w:t>. В некоторых случаях измеряют и остаточную намагниченность </w:t>
      </w:r>
      <w:r>
        <w:rPr>
          <w:rStyle w:val="a4"/>
          <w:rFonts w:ascii="Open Sans" w:hAnsi="Open Sans" w:cs="Open Sans"/>
          <w:color w:val="DD0055"/>
          <w:sz w:val="21"/>
          <w:szCs w:val="21"/>
        </w:rPr>
        <w:t>Вr</w:t>
      </w:r>
      <w:r>
        <w:rPr>
          <w:rFonts w:ascii="Open Sans" w:hAnsi="Open Sans" w:cs="Open Sans"/>
          <w:color w:val="444444"/>
          <w:sz w:val="21"/>
          <w:szCs w:val="21"/>
        </w:rPr>
        <w:t>. Эти первичные информативные параметры используют для контроля степени закалки, прочностных характеристик и других свойств. Наличие и количество ферритной составляющей в неферромагнитном материале могут быть определены по намагниченности насыщения </w:t>
      </w:r>
      <w:r>
        <w:rPr>
          <w:rStyle w:val="a4"/>
          <w:rFonts w:ascii="Open Sans" w:hAnsi="Open Sans" w:cs="Open Sans"/>
          <w:color w:val="DD0055"/>
          <w:sz w:val="21"/>
          <w:szCs w:val="21"/>
        </w:rPr>
        <w:t>I¥</w:t>
      </w:r>
      <w:r>
        <w:rPr>
          <w:rFonts w:ascii="Open Sans" w:hAnsi="Open Sans" w:cs="Open Sans"/>
          <w:color w:val="444444"/>
          <w:sz w:val="21"/>
          <w:szCs w:val="21"/>
        </w:rPr>
        <w:t>, т.е. при сильных полях намагничивания. Эта величина тем больше, чем больше содержание феррита.</w:t>
      </w:r>
      <w:r>
        <w:rPr>
          <w:rFonts w:ascii="Open Sans" w:hAnsi="Open Sans" w:cs="Open Sans"/>
          <w:color w:val="444444"/>
          <w:sz w:val="21"/>
          <w:szCs w:val="21"/>
        </w:rPr>
        <w:br/>
        <w:t>Магнитные методы применяют для измерения толщины неферромагнитного покрытия на ферромагнитном основании. В качестве первичного информативного параметра в этом случае используют поток магнитного поля. П-образный магнит помещают на поверхность объекта контроля с покрытием. Чем меньше толщина покрытия, тем больше магнитный поток через ферромагнитное основание и меньше рассеянный поток над объектом контроля. Этот поток измеряют по напряженности поля под изделием. Другой способ оценки потоков основан на измерении силы, необходимой для того, чтобы оторвать некоторый пробный магнит от объекта контроля.</w:t>
      </w:r>
      <w:r>
        <w:rPr>
          <w:rFonts w:ascii="Open Sans" w:hAnsi="Open Sans" w:cs="Open Sans"/>
          <w:color w:val="444444"/>
          <w:sz w:val="21"/>
          <w:szCs w:val="21"/>
        </w:rPr>
        <w:br/>
        <w:t>Высокоточное измерение кривой намагничивания показывает, что она имеет скачкообразный характер (см. рис. 1.3, а) в области крутого подъема. Это так называемый эффект Баркгаузена. Скачки возникают в результате перемагничивания областей спонтанного намагничивания (доменов), содержащихся в ферромагнитном материале. Параметры скачков кривой намагничивания (их число, величина, длительность, спектральный состав) используют как первичный, информативный параметр для контроля таких свойств материала, как химсостав, структура, степень пластической деформации. Скачки сливаются в сплошной шум, если масса намагничиваемого материала велика, поэтому этот способ применяют к тонким проволокам, лентам.</w:t>
      </w:r>
      <w:r>
        <w:rPr>
          <w:rFonts w:ascii="Open Sans" w:hAnsi="Open Sans" w:cs="Open Sans"/>
          <w:color w:val="444444"/>
          <w:sz w:val="21"/>
          <w:szCs w:val="21"/>
        </w:rPr>
        <w:br/>
      </w:r>
      <w:r>
        <w:rPr>
          <w:rFonts w:ascii="Open Sans" w:hAnsi="Open Sans" w:cs="Open Sans"/>
          <w:noProof/>
          <w:color w:val="444444"/>
          <w:sz w:val="21"/>
          <w:szCs w:val="21"/>
        </w:rPr>
        <w:drawing>
          <wp:inline distT="0" distB="0" distL="0" distR="0" wp14:anchorId="4BA247FD" wp14:editId="746DE56C">
            <wp:extent cx="3870960" cy="2217420"/>
            <wp:effectExtent l="0" t="0" r="0" b="0"/>
            <wp:docPr id="382218663" name="Рисунок 8" descr="Изображение выглядит как зарисовка, рисунок, диаграмма, Технический чертеж&#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218663" name="Рисунок 8" descr="Изображение выглядит как зарисовка, рисунок, диаграмма, Технический чертеж&#10;&#10;Автоматически созданное описани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70960" cy="2217420"/>
                    </a:xfrm>
                    <a:prstGeom prst="rect">
                      <a:avLst/>
                    </a:prstGeom>
                    <a:noFill/>
                    <a:ln>
                      <a:noFill/>
                    </a:ln>
                  </pic:spPr>
                </pic:pic>
              </a:graphicData>
            </a:graphic>
          </wp:inline>
        </w:drawing>
      </w:r>
      <w:r>
        <w:rPr>
          <w:rFonts w:ascii="Open Sans" w:hAnsi="Open Sans" w:cs="Open Sans"/>
          <w:color w:val="444444"/>
          <w:sz w:val="21"/>
          <w:szCs w:val="21"/>
        </w:rPr>
        <w:br/>
        <w:t>Рис. 1.4. Способы намагничивания при выявлении несплошностей:</w:t>
      </w:r>
      <w:r>
        <w:rPr>
          <w:rFonts w:ascii="Open Sans" w:hAnsi="Open Sans" w:cs="Open Sans"/>
          <w:color w:val="444444"/>
          <w:sz w:val="21"/>
          <w:szCs w:val="21"/>
        </w:rPr>
        <w:br/>
        <w:t>а — полюсный, б — циркулярный</w:t>
      </w:r>
    </w:p>
    <w:p w14:paraId="731ADF52" w14:textId="77777777" w:rsidR="00730844" w:rsidRDefault="00730844" w:rsidP="00730844">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lastRenderedPageBreak/>
        <w:t>При намагничивании объекта контроля, вблизи поверхности которого имеется несплошность (дефект), в области дефекта происходит резкое пространственное изменение напряженности магнитт ного поля, возникает поле рассеяния (рис. 1.4). Изменение напряженности магнитного поля, точнее градиента напряженности, используют как первичный информативный параметр для выявления дефектов.</w:t>
      </w:r>
      <w:r>
        <w:rPr>
          <w:rFonts w:ascii="Open Sans" w:hAnsi="Open Sans" w:cs="Open Sans"/>
          <w:color w:val="444444"/>
          <w:sz w:val="21"/>
          <w:szCs w:val="21"/>
        </w:rPr>
        <w:br/>
        <w:t>Остаточное намагничивание, коэрцитивную силу и магнитный поток часто оценивают по пондеромоторному эффекту — взаимодействию (притяжению) пробного магнита и ОК. Информацию о магнитной проницаемости и ее изменении в зависимости от напряженности магнитного поля получают с помощью катушки индуктивности (индуктивный метод).</w:t>
      </w:r>
      <w:r>
        <w:rPr>
          <w:rFonts w:ascii="Open Sans" w:hAnsi="Open Sans" w:cs="Open Sans"/>
          <w:color w:val="444444"/>
          <w:sz w:val="21"/>
          <w:szCs w:val="21"/>
        </w:rPr>
        <w:br/>
        <w:t>Дифференциацию магнитного вида неразрушающего контроля на различные методы по способу получения первичной информации рассмотрим на примере применения различных типов датчиков и веществ для обнаружения градиента магнитного поля вблизи несплошности. Градиент часто обнаруживают с помощью магнитного порошка или магнитной суспензии. Их частицы располагаются вдоль линий магнитной индукции поля рассеяния. Это магнитопорошковый метод, широко применяемый для дефектоскопии поверхностных и подповерхностных слоев ферромагнитных материалов.</w:t>
      </w:r>
      <w:r>
        <w:rPr>
          <w:rFonts w:ascii="Open Sans" w:hAnsi="Open Sans" w:cs="Open Sans"/>
          <w:color w:val="444444"/>
          <w:sz w:val="21"/>
          <w:szCs w:val="21"/>
        </w:rPr>
        <w:br/>
        <w:t>Для надежного выявления дефект должен пересекать линии магнитной индукции. Исходя из этого, для обнаружения различно ориентированных дефектов применяют разные направления намагничивания. На рис. 1.4, а изделие (стержень) помещают между двух полюсов магнита (полюсное намагничивание), что дает возможность выявить поперечные дефекты типа В. На рис. 1.4, б через цилиндрический объект пропускают электрический ток. Линии магнитной индукции образуют окружности в плоскости, перпендикулярной направлению тока (циркулярное намагничивание). Это дает возможность выявить продольные дефекты типа С.</w:t>
      </w:r>
      <w:r>
        <w:rPr>
          <w:rFonts w:ascii="Open Sans" w:hAnsi="Open Sans" w:cs="Open Sans"/>
          <w:color w:val="444444"/>
          <w:sz w:val="21"/>
          <w:szCs w:val="21"/>
        </w:rPr>
        <w:br/>
        <w:t>Магнитопорошковым методом можно обнаруживать дефекты длиной около 0,5 мм, шириной 2,5 мм и более. При намагничивании постоянным магнитным Тюлем выявляют дефекты, расположенные на глубине не более 2...3 мм от поверхности. При намагничивании переменным полем максимальная глубина выявляемых дефектов уменьшается.</w:t>
      </w:r>
      <w:r>
        <w:rPr>
          <w:rFonts w:ascii="Open Sans" w:hAnsi="Open Sans" w:cs="Open Sans"/>
          <w:color w:val="444444"/>
          <w:sz w:val="21"/>
          <w:szCs w:val="21"/>
        </w:rPr>
        <w:br/>
        <w:t>Помимо магнитного порошка для регистрации рассеянного магнитного поля используют магнитную пленку, подобную применяемой в магнитофонах, но более широкую (магнитографический метод). Считывание сигналов о дефектах с пленки выполняют с помощью прибора, датчиком которого служит магнитофонная головка. Этим методом обнаруживают дефекты в более толстом поверхностном слое, но теряют наглядность их изображения, свойственную магнитопорошковому методу.</w:t>
      </w:r>
      <w:r>
        <w:rPr>
          <w:rFonts w:ascii="Open Sans" w:hAnsi="Open Sans" w:cs="Open Sans"/>
          <w:color w:val="444444"/>
          <w:sz w:val="21"/>
          <w:szCs w:val="21"/>
        </w:rPr>
        <w:br/>
        <w:t>Для индицирования полей рассеяния на дефектах и измерения магнитных характеристик материалов также используют датчики типа феррозондов (феррозондовый метод), преобразователей Холла, магниторезисторов (меняющих электросопротивление при внесении в магнитное поле).</w:t>
      </w:r>
      <w:r>
        <w:rPr>
          <w:rFonts w:ascii="Open Sans" w:hAnsi="Open Sans" w:cs="Open Sans"/>
          <w:color w:val="444444"/>
          <w:sz w:val="21"/>
          <w:szCs w:val="21"/>
        </w:rPr>
        <w:br/>
        <w:t>Развитие магнитного вида контроля идет по пути изыскания способов отстройки от мешающих факторов, изучения особенностей магнитных полей изделий сложной формы, содержащих дефекты; разработки новых высокочувствительных преобразователей; использования потенциальных возможностей эффекта Баркгаузена, а так же других магнитных эффектов, таких, как ядерный магнитный резонанс (ЯМР), рассмотренный в кн. 3 данной серии.</w:t>
      </w:r>
      <w:r>
        <w:rPr>
          <w:rFonts w:ascii="Open Sans" w:hAnsi="Open Sans" w:cs="Open Sans"/>
          <w:color w:val="444444"/>
          <w:sz w:val="21"/>
          <w:szCs w:val="21"/>
        </w:rPr>
        <w:br/>
        <w:t xml:space="preserve">Электрический вид неразрушающего контроля основан на регистрации параметров электрического поля, взаимодействующего с контролируемым объектом (собственно электрический метод), или поля, возникающего в ОК в результате внешнего воздействия (термоэлектрический и трибоэлектрический методы). Первичными информативными </w:t>
      </w:r>
      <w:r>
        <w:rPr>
          <w:rFonts w:ascii="Open Sans" w:hAnsi="Open Sans" w:cs="Open Sans"/>
          <w:color w:val="444444"/>
          <w:sz w:val="21"/>
          <w:szCs w:val="21"/>
        </w:rPr>
        <w:lastRenderedPageBreak/>
        <w:t>параметрами являются электрическая емкость или потенциал (кн. 3 данной серии).</w:t>
      </w:r>
      <w:r>
        <w:rPr>
          <w:rFonts w:ascii="Open Sans" w:hAnsi="Open Sans" w:cs="Open Sans"/>
          <w:color w:val="444444"/>
          <w:sz w:val="21"/>
          <w:szCs w:val="21"/>
        </w:rPr>
        <w:br/>
        <w:t>Емкостный метод применяют для контроля диэлектрических или полупроводниковых материалов. По изменению диэлектрической проницаемости, в том числе ее реактивной части (диэлектрическим потерям), контролируют химический состав пластмасс, полупроводников, наличие в них неснлошностей, влажность сыпучих материалов и другие свойства.</w:t>
      </w:r>
      <w:r>
        <w:rPr>
          <w:rFonts w:ascii="Open Sans" w:hAnsi="Open Sans" w:cs="Open Sans"/>
          <w:color w:val="444444"/>
          <w:sz w:val="21"/>
          <w:szCs w:val="21"/>
        </w:rPr>
        <w:br/>
        <w:t>Метод электрического потенциала (электропотенциальный) применяют для контроля проводников. Измеряя падение потенциала на некотором участке, контролируют толщину проводящего слоя, наличие несплошностей вблизи поверхности проводника. Электрический ток огибает поверхностный дефект, по изменению потенциала на участке с дефектом определяют глубину несплошности с погрешностью в несколько процентов.</w:t>
      </w:r>
      <w:r>
        <w:rPr>
          <w:rFonts w:ascii="Open Sans" w:hAnsi="Open Sans" w:cs="Open Sans"/>
          <w:color w:val="444444"/>
          <w:sz w:val="21"/>
          <w:szCs w:val="21"/>
        </w:rPr>
        <w:br/>
        <w:t>Термоэлектрический метод применяют для контроля химического состава материалов. Например, нагретый до постоянной температуры медный электрод прижимают к поверхности ОК и по возникающей контактной разности потенциалов определяют марку стали, титана, алюминия или другого материала ОК.</w:t>
      </w:r>
      <w:r>
        <w:rPr>
          <w:rFonts w:ascii="Open Sans" w:hAnsi="Open Sans" w:cs="Open Sans"/>
          <w:color w:val="444444"/>
          <w:sz w:val="21"/>
          <w:szCs w:val="21"/>
        </w:rPr>
        <w:br/>
        <w:t>Существует также ряд других электрических методов: экзоэлектронной эмиссии (эмиссия ионов с поверхности ОК под влиянием внутренних напряжений), электроискровой (измерения характеристик среды по параметрам электрического пробоя в ней), электростатического порошка. В настоящее время эти методы находят сравнительно узкое практическое применение, но интенсивно изучаются.</w:t>
      </w:r>
      <w:r>
        <w:rPr>
          <w:rFonts w:ascii="Open Sans" w:hAnsi="Open Sans" w:cs="Open Sans"/>
          <w:color w:val="444444"/>
          <w:sz w:val="21"/>
          <w:szCs w:val="21"/>
        </w:rPr>
        <w:br/>
        <w:t>Вихретоковый вид неразрушающего контроля основан на анализе взаимодействия электромагнитного поля вихретокового преобразователя с электромагнитным полем вихревых токов, наводимых в контролируемом объекте (кн. 3 данной серии). Его применяют только для контроля объектов из электропроводящих материалов. Вихревые токи возбуждаются в объекте преобразователем в виде индуктивной катушки, питаемой переменным или импульсным током. Приемным преобразователем (измерителем) служит та же или другая катушка. Возбуждающую и приемную катушки располагают либо с одной стороны, либо по разные стороны от ОК.</w:t>
      </w:r>
      <w:r>
        <w:rPr>
          <w:rFonts w:ascii="Open Sans" w:hAnsi="Open Sans" w:cs="Open Sans"/>
          <w:color w:val="444444"/>
          <w:sz w:val="21"/>
          <w:szCs w:val="21"/>
        </w:rPr>
        <w:br/>
        <w:t>Интенсивность и распределение вихревых токов в объекте зависят, от его размеров, электрических и магнитных свойств материала, от наличия в материале нарушений сплошности, взаимного расположения преобразователя и ОК, т. е. от многих параметров. Это определяет большие возможности метода как средства контроля различных свойств объекта, но в то же время затрудняет его применение, так как при контроле одного параметра другие являются мешающими. Для разделения параметров используют раздельное или совместное измерение фазы, частоты и амплитуды напряжения измерительного преобразователя, подмагничивание ферромагнитных ОК. постоянным магнитным полем, ведут контроль одновременно на нескольких частотах, применяют спектральный анализ. Получаемые таким образом первичные информативные параметры позволяют контролировать размеры изделий (толщину стенки при одностороннем доступе), определять химсостав и структуру материала ОК, внутренние напряжения, обнаруживать поверхностные и подповерхностные (на глубине нескольких миллиметров) дефекты.</w:t>
      </w:r>
    </w:p>
    <w:p w14:paraId="68F63ED4" w14:textId="59A6E767" w:rsidR="00730844" w:rsidRDefault="00730844" w:rsidP="00730844">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noProof/>
          <w:color w:val="444444"/>
          <w:sz w:val="21"/>
          <w:szCs w:val="21"/>
        </w:rPr>
        <w:lastRenderedPageBreak/>
        <w:drawing>
          <wp:inline distT="0" distB="0" distL="0" distR="0" wp14:anchorId="2BB09E43" wp14:editId="2454860A">
            <wp:extent cx="1287780" cy="3314700"/>
            <wp:effectExtent l="0" t="0" r="7620" b="0"/>
            <wp:docPr id="361063555" name="Рисунок 7" descr="Изображение выглядит как зарисовка, диаграмма, рисунок, Технический чертеж&#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063555" name="Рисунок 7" descr="Изображение выглядит как зарисовка, диаграмма, рисунок, Технический чертеж&#10;&#10;Автоматически созданное описание"/>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87780" cy="3314700"/>
                    </a:xfrm>
                    <a:prstGeom prst="rect">
                      <a:avLst/>
                    </a:prstGeom>
                    <a:noFill/>
                    <a:ln>
                      <a:noFill/>
                    </a:ln>
                  </pic:spPr>
                </pic:pic>
              </a:graphicData>
            </a:graphic>
          </wp:inline>
        </w:drawing>
      </w:r>
      <w:r>
        <w:rPr>
          <w:rFonts w:ascii="Open Sans" w:hAnsi="Open Sans" w:cs="Open Sans"/>
          <w:color w:val="444444"/>
          <w:sz w:val="21"/>
          <w:szCs w:val="21"/>
        </w:rPr>
        <w:br/>
        <w:t>Рис. 1.5. Некоторые типы вихретоковых преобразователей:</w:t>
      </w:r>
      <w:r>
        <w:rPr>
          <w:rFonts w:ascii="Open Sans" w:hAnsi="Open Sans" w:cs="Open Sans"/>
          <w:color w:val="444444"/>
          <w:sz w:val="21"/>
          <w:szCs w:val="21"/>
        </w:rPr>
        <w:br/>
        <w:t>а, б — проходные наружный и внутренний, в — накладной, г — экранный</w:t>
      </w:r>
      <w:r>
        <w:rPr>
          <w:rFonts w:ascii="Open Sans" w:hAnsi="Open Sans" w:cs="Open Sans"/>
          <w:color w:val="444444"/>
          <w:sz w:val="21"/>
          <w:szCs w:val="21"/>
        </w:rPr>
        <w:br/>
        <w:t>(1 — контролируемый объект, 2 — преобразователи)</w:t>
      </w:r>
    </w:p>
    <w:p w14:paraId="49D5368A" w14:textId="77777777" w:rsidR="00730844" w:rsidRDefault="00730844" w:rsidP="00730844">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По взаиморасположению преобразователя и объекта различают проходные, погружные, накладные и экранные преобразователи (рис. 1.5). Последние предназначены для работы по методу прохождения.</w:t>
      </w:r>
      <w:r>
        <w:rPr>
          <w:rFonts w:ascii="Open Sans" w:hAnsi="Open Sans" w:cs="Open Sans"/>
          <w:color w:val="444444"/>
          <w:sz w:val="21"/>
          <w:szCs w:val="21"/>
        </w:rPr>
        <w:br/>
        <w:t>Контроль вихревыми токами можно выполнять без непосредственного механического контакта преобразователей с объектом, что позволяет вести контроль при взаимном перемещении преобразователя и объекта с большой скоростью.</w:t>
      </w:r>
      <w:r>
        <w:rPr>
          <w:rFonts w:ascii="Open Sans" w:hAnsi="Open Sans" w:cs="Open Sans"/>
          <w:color w:val="444444"/>
          <w:sz w:val="21"/>
          <w:szCs w:val="21"/>
        </w:rPr>
        <w:br/>
        <w:t>Развитие вихретокового вида контроля идет в направлениях изыскания путей контроля изделий сложной конфигурации и многослойных объектов, усовершенствования способов отстройки от мешающих параметров, разработки многодатчиковых и многочастотных систем для комплексного контроля свойств объекта.</w:t>
      </w:r>
      <w:r>
        <w:rPr>
          <w:rFonts w:ascii="Open Sans" w:hAnsi="Open Sans" w:cs="Open Sans"/>
          <w:color w:val="444444"/>
          <w:sz w:val="21"/>
          <w:szCs w:val="21"/>
        </w:rPr>
        <w:br/>
        <w:t>Радиоволновый вид неразрушающего контроля основан на регистрации изменений параметров электромагнитных волн радиодиапазона, взаимодействующих с ОК (кн. 4 данной серии). Обычно применяют волны сверхвысокочастотного (СВЧ) диапазона длиной 1...100 мм и контролируют изделия из материалов, где радиоволны не очень сильно затухают: диэлектрики (пластмассы, керамика, стекловолокно), магнитодиэлектрики (ферриты), полупроводники, тонкостенные металлические объекты. По характеру взаимодействия с объектом контроля различают методы прошедшего, отраженного, рассеянного излучения и резонансный. Первичными информативными параметрами служат амплитуда, фаза, поляризация, частота, геометрия распространения вторичных волн, время их прохождения и др.</w:t>
      </w:r>
      <w:r>
        <w:rPr>
          <w:rFonts w:ascii="Open Sans" w:hAnsi="Open Sans" w:cs="Open Sans"/>
          <w:color w:val="444444"/>
          <w:sz w:val="21"/>
          <w:szCs w:val="21"/>
        </w:rPr>
        <w:br/>
        <w:t>Тепловой вид неразрушающего контроля основан на регистрации изменений тепловых или температурных полей контролируемых объектов (кн. 4 данной серии). Он применим к объектам из любых материалов. По характеру взаимодействия поля с ОК различают методы: пассивный или собственного излучения (на объект не воздействуют внешним источником энергии) и активный (объект нагревают или охлаждают от внешнего источника). Измеряемым информативным параметром служит температура или тепловой поток.</w:t>
      </w:r>
      <w:r>
        <w:rPr>
          <w:rFonts w:ascii="Open Sans" w:hAnsi="Open Sans" w:cs="Open Sans"/>
          <w:color w:val="444444"/>
          <w:sz w:val="21"/>
          <w:szCs w:val="21"/>
        </w:rPr>
        <w:br/>
        <w:t xml:space="preserve">При контроле пассивным методом измеряют тепловые потоки или температурные поля </w:t>
      </w:r>
      <w:r>
        <w:rPr>
          <w:rFonts w:ascii="Open Sans" w:hAnsi="Open Sans" w:cs="Open Sans"/>
          <w:color w:val="444444"/>
          <w:sz w:val="21"/>
          <w:szCs w:val="21"/>
        </w:rPr>
        <w:lastRenderedPageBreak/>
        <w:t>работающих объектов с целью определения неисправностей, проявляющихся в виде мест повышенного нагрева. Таким образом выявляют уменьшение толщины футеровки доменных и мартеновских печей, места утечки теплоты в зданиях, участки электроцепей и радиосхем с повышенным нагревом, находят трещины в двигателях и т.д.</w:t>
      </w:r>
      <w:r>
        <w:rPr>
          <w:rFonts w:ascii="Open Sans" w:hAnsi="Open Sans" w:cs="Open Sans"/>
          <w:color w:val="444444"/>
          <w:sz w:val="21"/>
          <w:szCs w:val="21"/>
        </w:rPr>
        <w:br/>
        <w:t>При контроле активным методом объект обычно нагревают и измеряют температуру или тепловой поток с одной из сторон объекта. Это позволяет обнаруживать несплошности (трещины, пористость, инородные включения) в объектах, изменения в структуре и физико-химических свойствах материалов по изменению теплопроводности, теплоемкости, коэффициенту теплоотдачи. Таким способом выявляют участки с плохой теплопроводностью в многослойных панелях. Неплотное прилегание слоев и дефекты обнаруживают как участки повышенного или пониженного нагрева поверхности панели. Измерения температур или тепловых потоков выполняют контактным или бесконтактным способом. В последнем случае передача теплоты происходит в основном за счет радиации, т.е. излучения электромагнитных волн в инфракрасной или видимой части спектра в зависимости от температуры тела. Наиболее эффективным средством бесконтактного наблюдения, регистрации температурных полей и тепловых потоков является сканирующий тепловизор.</w:t>
      </w:r>
      <w:r>
        <w:rPr>
          <w:rFonts w:ascii="Open Sans" w:hAnsi="Open Sans" w:cs="Open Sans"/>
          <w:color w:val="444444"/>
          <w:sz w:val="21"/>
          <w:szCs w:val="21"/>
        </w:rPr>
        <w:br/>
        <w:t>Оптический вид неразрушающего контроля основан на наблюдении или регистрации параметров оптического излучения, взаимодействующего с ОК (кн. 4 данной серии). По характеру взаимодействия различают методы прошедшего, отраженного, рассеянного и индуцированного излучения. Последним термином определяют оптические излучения объекта под действием внешнего воздействия, например люминесценцию. Первичными информативными параметрами служит амплитуда, фаза, степень поляризации, частота или частотный спектр, время прохождения света через объект, геометрия преломления и отражения лучей.</w:t>
      </w:r>
      <w:r>
        <w:rPr>
          <w:rFonts w:ascii="Open Sans" w:hAnsi="Open Sans" w:cs="Open Sans"/>
          <w:color w:val="444444"/>
          <w:sz w:val="21"/>
          <w:szCs w:val="21"/>
        </w:rPr>
        <w:br/>
        <w:t>Оптические методы имеют очень широкое применение благодаря большому разнообразию способов получения первичной информации. Возможность их применения для наружного контроля не зависит от материала объекта. Самым простым методом является органолептический визуальный контроль, с помощью которого находят видимые дефекты, отклонения от заданных формы, цвета и т.д. Применение инструментов (визуально-оптический контроль) типа луп, микроскопов, эндоскопов для осмотра внутренних полостей, проекционных устройств для контроля формы изделий, спроектированных в увеличенном виде на экран, значительно расширяет возможности этого метода. Использование интерференции позволяет с точностью до 0,1 длины волны контролировать сферичность, плоскостность, шероховатость, толщину изделий. Дифракцию применяют для контроля диаметров тонких волокон, толщины лент, форм острых кромок.</w:t>
      </w:r>
      <w:r>
        <w:rPr>
          <w:rFonts w:ascii="Open Sans" w:hAnsi="Open Sans" w:cs="Open Sans"/>
          <w:color w:val="444444"/>
          <w:sz w:val="21"/>
          <w:szCs w:val="21"/>
        </w:rPr>
        <w:br/>
        <w:t>Оптические методы широко применяют для контроля прозрачных объектов. В них обнаруживают макро- и микродефекты, структурные неоднородности, внутренние напряжения (по вращению плоскости поляризации). Использование гибких световодов, лазеров, оптической голографии, телевизионной техники резко расширило область применения оптических методов, повысило точность измерения.</w:t>
      </w:r>
      <w:r>
        <w:rPr>
          <w:rFonts w:ascii="Open Sans" w:hAnsi="Open Sans" w:cs="Open Sans"/>
          <w:color w:val="444444"/>
          <w:sz w:val="21"/>
          <w:szCs w:val="21"/>
        </w:rPr>
        <w:br/>
        <w:t>Радиационный вид неразрушающего контроля основан на регистрации и анализе проникающего ионизирующего излучения после взаимодействия его с ОК. (кн. 4 данной серии). В зависимости от природы ионизирующего излучения вид контроля подразделяют на подвиды: рентгеновский, гамма-, бета- (поток электронов), нейтронный. В последнее время находят применение потоки позитронов, по степени поглощения которых определяют участки объекта, обедненные или обогащенные электронами.</w:t>
      </w:r>
      <w:r>
        <w:rPr>
          <w:rFonts w:ascii="Open Sans" w:hAnsi="Open Sans" w:cs="Open Sans"/>
          <w:color w:val="444444"/>
          <w:sz w:val="21"/>
          <w:szCs w:val="21"/>
        </w:rPr>
        <w:br/>
        <w:t xml:space="preserve">Наиболее широко используют для контроля рентгеновское и гамма-излучения. Их можно использовать для контроля объектов из самых различных материалов, подбирая </w:t>
      </w:r>
      <w:r>
        <w:rPr>
          <w:rFonts w:ascii="Open Sans" w:hAnsi="Open Sans" w:cs="Open Sans"/>
          <w:color w:val="444444"/>
          <w:sz w:val="21"/>
          <w:szCs w:val="21"/>
        </w:rPr>
        <w:lastRenderedPageBreak/>
        <w:t>благоприятный частотный диапазон. Напомним, что эти виды излучения являются электромагнитными волнами.</w:t>
      </w:r>
      <w:r>
        <w:rPr>
          <w:rFonts w:ascii="Open Sans" w:hAnsi="Open Sans" w:cs="Open Sans"/>
          <w:color w:val="444444"/>
          <w:sz w:val="21"/>
          <w:szCs w:val="21"/>
        </w:rPr>
        <w:br/>
        <w:t>Все рассмотренные ранее виды контроля основаны на применении электромагнитного излучения. Частота колебаний повышалась от метода к методу. При контроле магнитными и электрическими методами использовались постоянные или медленно изменяющиеся поля. В вихретоковом контроле частоты достигали мегагерцевого диапазона. Далее частота увеличивалась при использовании СВЧ, инфракрасного, оптического излучения. Рентгеновское и гамма-излучения являются наиболее коротковолновыми из всех рассмотренных ранее: гамма-излучение имеет длину волны 10-10...10-13 м (частоту 3•1018...3•1021 Гц).</w:t>
      </w:r>
      <w:r>
        <w:rPr>
          <w:rFonts w:ascii="Open Sans" w:hAnsi="Open Sans" w:cs="Open Sans"/>
          <w:color w:val="444444"/>
          <w:sz w:val="21"/>
          <w:szCs w:val="21"/>
        </w:rPr>
        <w:br/>
        <w:t>По характеру взаимодействия с ОК основной способ радиационного (рентгеновского и гамма-) контроля — метод прохождения. Он основан на разном поглощении излучения материалом объекта и дефектом. Таким образом, информативный параметр здесь — плотность потока излучения: в местах утонений и дефектов плотность прошедшего потока возрастает. Чем больше толщина ОК тем более высокочастотное (более жесткое) излучение применяют, для контроля: рентгеновское, гамма- (от распада ядер атомов), жесткое тормозное (от ускорителя электронов: бетатрона, микротрона, линейного ускорителя). Предельное значение толщины объектов из стали, контролируемых с помощью излучения последнего типа, — около 600 мм. Приемником излучения служат: рентгенопленка (радиографический метод), сканирующий сцинтилляционный счетчик частиц и фотонов (радиометрический метод), флуоресцирующий экран с последующим преобразованием изображения в телевизионное (радиоскопический метод) и т.д. Наиболее перспективное направление развития радиационного контроля — вычислительная томография.</w:t>
      </w:r>
      <w:r>
        <w:rPr>
          <w:rFonts w:ascii="Open Sans" w:hAnsi="Open Sans" w:cs="Open Sans"/>
          <w:color w:val="444444"/>
          <w:sz w:val="21"/>
          <w:szCs w:val="21"/>
        </w:rPr>
        <w:br/>
        <w:t>Акустический вид неразрушающего контроля основан на регистрации параметров упругих волн, возникающих или возбуждаемых в объекте (кн. 2 данной серии). Чаще всего используют упругие волны ультразвукового диапазона (с частотой колебаний выше 20 кГц), этот метод называют ультразвуковым. В отличие от всех ранее рассмотренных методов здесь применяют и регистрируют не электромагнитные, а упругие волны, параметры которых тесно связаны с такими свойствами материалов, как упругость, плотность, анизотропия (неравномерность свойств по различным направлениям) и др.</w:t>
      </w:r>
      <w:r>
        <w:rPr>
          <w:rFonts w:ascii="Open Sans" w:hAnsi="Open Sans" w:cs="Open Sans"/>
          <w:color w:val="444444"/>
          <w:sz w:val="21"/>
          <w:szCs w:val="21"/>
        </w:rPr>
        <w:br/>
        <w:t>Акустические свойства твердых материалов и воздуха настолько сильно отличаются, что акустические волны отражаются от тончайших зазоров (трещин, непроваров) шириной 10-6...10-4 мм. Этот вид контроля применим ко всем материалам, достаточно хорошо проводящим акустические волны: металлам, пластмассам, керамике, бетону и т. д.</w:t>
      </w:r>
      <w:r>
        <w:rPr>
          <w:rFonts w:ascii="Open Sans" w:hAnsi="Open Sans" w:cs="Open Sans"/>
          <w:color w:val="444444"/>
          <w:sz w:val="21"/>
          <w:szCs w:val="21"/>
        </w:rPr>
        <w:br/>
        <w:t>По характеру взаимодействия с ОК различают пассивный и активный методы. Пассивный акустический метод предусматривает регистрацию упругих волн, возникающих в самом объекте. Шумы работающего механизма (особенно, если обеспечить регистрацию таких информативных параметров, как место их возникновения и амплитудночастотная характеристика) позволяют судить о исправности механизма и даже о характере неисправности. Этот пассивный метод акустического контроля называют шумовибрационным. Многие машины снабжают датчиками, регистрирующими уровень вибрации определенных узлов и прогнозирующими их работоспособность. Это вибрационный метод контроля или диагностики.</w:t>
      </w:r>
      <w:r>
        <w:rPr>
          <w:rFonts w:ascii="Open Sans" w:hAnsi="Open Sans" w:cs="Open Sans"/>
          <w:color w:val="444444"/>
          <w:sz w:val="21"/>
          <w:szCs w:val="21"/>
        </w:rPr>
        <w:br/>
        <w:t xml:space="preserve">Перестройка структуры материала, вызываемая движением групп дислокаций, возникновением и развитием трещин, аллотропическими превращениями в кристаллической решетке, сопровождается появлением упругих волн ультразвукового (реже звукового) диапазона. На использовании этих волн основан метод акустической эмиссии. Используя такие информативные параметры, как количество сигналов в единицу времени, их частота, амплитудное распределение, локация места возникновения упругих </w:t>
      </w:r>
      <w:r>
        <w:rPr>
          <w:rFonts w:ascii="Open Sans" w:hAnsi="Open Sans" w:cs="Open Sans"/>
          <w:color w:val="444444"/>
          <w:sz w:val="21"/>
          <w:szCs w:val="21"/>
        </w:rPr>
        <w:lastRenderedPageBreak/>
        <w:t>волн, судят о состоянии материала, происходящих в нем изменениях, прогнозируют работоспособность конструкции.</w:t>
      </w:r>
      <w:r>
        <w:rPr>
          <w:rFonts w:ascii="Open Sans" w:hAnsi="Open Sans" w:cs="Open Sans"/>
          <w:color w:val="444444"/>
          <w:sz w:val="21"/>
          <w:szCs w:val="21"/>
        </w:rPr>
        <w:br/>
        <w:t>Активные ультразвуковые методы применяются более широко. Для контроля используют стоячие волны (вынужденные или свободные колебания объекта контроля или его части), бегущие волны по схемам прохождения и отражения. Методы колебаний используют для измерения толщин при одностороннем доступе и контроля свойств материалов (модуля упругости, коэффициента затухания). Информативным параметром служат частоты свободных или вынужденных колебаний и их амплитуды. Используют также метод (импедансный), основанный на измерении режима колебаний преобразователя, соприкасающегося с объектом. По амплитудам и резонансным частотам такого преобразователя (часто имеющего вид стержня) судят о твердости материала изделия, податливости (упругому импедансу) его поверхности. Податливость, в частности, улучшается под влиянием дефектов, близких к поверхности изделия.</w:t>
      </w:r>
    </w:p>
    <w:p w14:paraId="139A18B6" w14:textId="50059C1D" w:rsidR="00730844" w:rsidRDefault="00730844" w:rsidP="00730844">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noProof/>
          <w:color w:val="444444"/>
          <w:sz w:val="21"/>
          <w:szCs w:val="21"/>
        </w:rPr>
        <w:drawing>
          <wp:inline distT="0" distB="0" distL="0" distR="0" wp14:anchorId="31B432A7" wp14:editId="308095F5">
            <wp:extent cx="4267200" cy="1402080"/>
            <wp:effectExtent l="0" t="0" r="0" b="7620"/>
            <wp:docPr id="1232089832" name="Рисунок 6" descr="Изображение выглядит как зарисовка, диаграмма, рисунок, Штриховая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89832" name="Рисунок 6" descr="Изображение выглядит как зарисовка, диаграмма, рисунок, Штриховая графика&#10;&#10;Автоматически созданное описание"/>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67200" cy="1402080"/>
                    </a:xfrm>
                    <a:prstGeom prst="rect">
                      <a:avLst/>
                    </a:prstGeom>
                    <a:noFill/>
                    <a:ln>
                      <a:noFill/>
                    </a:ln>
                  </pic:spPr>
                </pic:pic>
              </a:graphicData>
            </a:graphic>
          </wp:inline>
        </w:drawing>
      </w:r>
      <w:r>
        <w:rPr>
          <w:rFonts w:ascii="Open Sans" w:hAnsi="Open Sans" w:cs="Open Sans"/>
          <w:color w:val="444444"/>
          <w:sz w:val="21"/>
          <w:szCs w:val="21"/>
        </w:rPr>
        <w:br/>
        <w:t>Рис. 1.6. Схема импульсного ультразвукового дефектоскопа:</w:t>
      </w:r>
      <w:r>
        <w:rPr>
          <w:rFonts w:ascii="Open Sans" w:hAnsi="Open Sans" w:cs="Open Sans"/>
          <w:color w:val="444444"/>
          <w:sz w:val="21"/>
          <w:szCs w:val="21"/>
        </w:rPr>
        <w:br/>
        <w:t>а — контроль поковки прямым преобразователем,</w:t>
      </w:r>
      <w:r>
        <w:rPr>
          <w:rFonts w:ascii="Open Sans" w:hAnsi="Open Sans" w:cs="Open Sans"/>
          <w:color w:val="444444"/>
          <w:sz w:val="21"/>
          <w:szCs w:val="21"/>
        </w:rPr>
        <w:br/>
        <w:t>б — контроль сварного шва наклонным преобразователем</w:t>
      </w:r>
    </w:p>
    <w:p w14:paraId="19B2CA06" w14:textId="77777777" w:rsidR="00730844" w:rsidRDefault="00730844" w:rsidP="00730844">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Наиболее широкое распространение получил метод отражения, или эхометод (рис. 1.6). Преобразователь 1 возбуждает в объекте контроля 2 ультразвуковой импульс. Он отражается от нижней поверхности объекта или дефекта 3 и принимается тем же (или другим) преобразователем. Генератор электрических импульсов 6 синхронизирован с генератором развертки 7 электронно-лучевой трубки 5. Отраженные сигналы усиливаются в 4 и вызывают появление на линии развертки пиков. На рис. 1.6, а показаны посылаемый в изделие сигнал 8, эхосигнал от дефекта 9 и донный сигнал 10. Информативными параметрами в этом случае являются амплитуда и время прихода импульсов.</w:t>
      </w:r>
      <w:r>
        <w:rPr>
          <w:rFonts w:ascii="Open Sans" w:hAnsi="Open Sans" w:cs="Open Sans"/>
          <w:color w:val="444444"/>
          <w:sz w:val="21"/>
          <w:szCs w:val="21"/>
        </w:rPr>
        <w:br/>
        <w:t>Эхометод очень широко применяют для дефектоскопии металлических заготовок и сварных соединений (рис. 1.6, б), контроля структуры металлов, измерения толщины труб и сосудов. Значительно реже используют метод прохождения. Им дефектоскопируют изделия простой формы (листы), оценивают прочность бетона, дерева и других материалов, в которых прочность коррелирует, со скоростью ультразвука.</w:t>
      </w:r>
      <w:r>
        <w:rPr>
          <w:rFonts w:ascii="Open Sans" w:hAnsi="Open Sans" w:cs="Open Sans"/>
          <w:color w:val="444444"/>
          <w:sz w:val="21"/>
          <w:szCs w:val="21"/>
        </w:rPr>
        <w:br/>
        <w:t>Средством возбуждения и приема ультразвуковых волн, как правило, служат пьезопреобразователи. Учитывая сильное отражение ультразвука от тончайших воздушных зазоров, для передачи волн от пьезопреобразователя к изделию используют жидкостный контакт. Для возбуждения волн звукового диапазона кроме пьезопреобразователей применяют ударное воздействие, а для приема — микрофоны.</w:t>
      </w:r>
      <w:r>
        <w:rPr>
          <w:rFonts w:ascii="Open Sans" w:hAnsi="Open Sans" w:cs="Open Sans"/>
          <w:color w:val="444444"/>
          <w:sz w:val="21"/>
          <w:szCs w:val="21"/>
        </w:rPr>
        <w:br/>
        <w:t>Из многочисленных направлений развития акустических методов контроля назовем разработку бесконтактных преобразователей: лазерных возбудителей и приемников, электромагнитно-акустических преобразователей, основанных на возбуждении колебаний поверхности объекта внешним электромагнитным полем. Это открывает возможность повышения производительности при автоматическом контроле.</w:t>
      </w:r>
      <w:r>
        <w:rPr>
          <w:rFonts w:ascii="Open Sans" w:hAnsi="Open Sans" w:cs="Open Sans"/>
          <w:color w:val="444444"/>
          <w:sz w:val="21"/>
          <w:szCs w:val="21"/>
        </w:rPr>
        <w:br/>
        <w:t xml:space="preserve">Ряд работ направлен на отстройку от шумов, главным образом связанных с отражением упругих волн от структурных неоднородностей, например границ кристаллов в </w:t>
      </w:r>
      <w:r>
        <w:rPr>
          <w:rFonts w:ascii="Open Sans" w:hAnsi="Open Sans" w:cs="Open Sans"/>
          <w:color w:val="444444"/>
          <w:sz w:val="21"/>
          <w:szCs w:val="21"/>
        </w:rPr>
        <w:lastRenderedPageBreak/>
        <w:t>поликристаллическом материале. Осваивается применение специфических типов упругих волн в твердом теле: поверхностных волн, волн в пластинах и стержнях. Это существенно расширяет область изделий, доступных контролю. Разработка средств высокоточного измерения скорости ультразвуковых волн открывает возможности измерения внутренних напряжений в твердых телах по изменению скорости или затухания.</w:t>
      </w:r>
      <w:r>
        <w:rPr>
          <w:rFonts w:ascii="Open Sans" w:hAnsi="Open Sans" w:cs="Open Sans"/>
          <w:color w:val="444444"/>
          <w:sz w:val="21"/>
          <w:szCs w:val="21"/>
        </w:rPr>
        <w:br/>
        <w:t>Разрабатывают новые способы обработки информации, где очень перспективна вычислительная ультразвуковая голография. Например, используя пьезопреобразователи так, как показано на рис. 1.6, сканируют большой участок (порядка 200´200 мм) поверхности объекта контроля. Получаемую при этом информацию направляют в память ЭВМ. Дальнейшую обработку всей информации, полученной на большом участке сканирования, выполняют на ЭВМ, используя те же алгоритмы, которые реализуются в оптической голографии при наложении световых пучков. Благодаря этому удается значительно точнее представить форму и размеры выявляемых дефектов и более обоснованно судить об их потенциальной опасности [10].</w:t>
      </w:r>
      <w:r>
        <w:rPr>
          <w:rFonts w:ascii="Open Sans" w:hAnsi="Open Sans" w:cs="Open Sans"/>
          <w:color w:val="444444"/>
          <w:sz w:val="21"/>
          <w:szCs w:val="21"/>
        </w:rPr>
        <w:br/>
        <w:t>Неразрушающий контроль проникающими веществами основан на проникновении пробных веществ в полость дефектов ОК. Его делят на методы капиллярные и течеискания. Капиллярные методы основаны на капиллярном проникновении в полость дефекта индикаторной жидкости (керосина, скипидара), хорошо смачивающей материал объекты. Их применяют для обнаружения слабо видимых невооруженным глазом поверхностных дефектов.</w:t>
      </w:r>
      <w:r>
        <w:rPr>
          <w:rFonts w:ascii="Open Sans" w:hAnsi="Open Sans" w:cs="Open Sans"/>
          <w:color w:val="444444"/>
          <w:sz w:val="21"/>
          <w:szCs w:val="21"/>
        </w:rPr>
        <w:br/>
        <w:t>Методы, течеискания используют для выявления только сквозных дефектов в перегородках. В полость дефекта пробное вещество проникает либо под действием разности давлений, либо под действием капиллярных сил, однако в последнем случае нанесение и индикацию пробных веществ выполняют по разные стороны перегородки (гл. 9 и 10).</w:t>
      </w:r>
      <w:r>
        <w:rPr>
          <w:rFonts w:ascii="Open Sans" w:hAnsi="Open Sans" w:cs="Open Sans"/>
          <w:color w:val="444444"/>
          <w:sz w:val="21"/>
          <w:szCs w:val="21"/>
        </w:rPr>
        <w:br/>
        <w:t>Сопоставление видов неразрушающего контроля. Проводить сопоставление методов неразрушающего контроля между собой следует с учетом следующих обстоятельств. Как отмечалось в описании методов, многие из них применимы для контроля только определенных типов материалов: радиоволновой и электроемкостный — для неметаллических, плохо проводящих ток материалов; магнитный— для ферромагнитных материалов, вихретоковый — для электропроводящих, акустический — для материалов, обладающих небольшим затуханием звука соответствующей частоты. Далее следует иметь в виду различную область применения разновидности методов: измерение размеров, исследование химсостава и структуры, поиск несплошностей. Поэтому сопоставление различных методой контроля можно проводить только в тех условиях, когда возможно применение нескольких методов. Проведем сопоставление для дефектоскопического контроля металлических ферромагнитных материалов типа стали, когда применимо большинство из рассмотренных методов.</w:t>
      </w:r>
      <w:r>
        <w:rPr>
          <w:rFonts w:ascii="Open Sans" w:hAnsi="Open Sans" w:cs="Open Sans"/>
          <w:color w:val="444444"/>
          <w:sz w:val="21"/>
          <w:szCs w:val="21"/>
        </w:rPr>
        <w:br/>
        <w:t>Сравнение можно проводить по глубине расположения дефектов, которые этими методами выявляются. Контроль течеисканием рассчитан на выявление только сквозных дефектов. Визуальные и капиллярные методы контроля позволяют обнаруживать только дефекты, выходящие на поверхность (в том числе несквозные). Магнитные и вихретоковые методы позволяют обнаруживать как поверхностные, так и подповерхностные (залегающие на глубине нескольких миллиметров) дефекты. Радиационные и акустические методы могут обнаруживать как поверхностные дефекты, так и внутренние.</w:t>
      </w:r>
      <w:r>
        <w:rPr>
          <w:rFonts w:ascii="Open Sans" w:hAnsi="Open Sans" w:cs="Open Sans"/>
          <w:color w:val="444444"/>
          <w:sz w:val="21"/>
          <w:szCs w:val="21"/>
        </w:rPr>
        <w:br/>
        <w:t xml:space="preserve">Наиболее вредны для здоровья обслуживающего персонала радиационные и радиоволновые методы. Определенную токсичность имеют методы капиллярные и течеискания при использовании некоторых типов пробных веществ и ультрафиолетовых осветителей. Влияние остальных методов на здоровье обслуживающего персонала не </w:t>
      </w:r>
      <w:r>
        <w:rPr>
          <w:rFonts w:ascii="Open Sans" w:hAnsi="Open Sans" w:cs="Open Sans"/>
          <w:color w:val="444444"/>
          <w:sz w:val="21"/>
          <w:szCs w:val="21"/>
        </w:rPr>
        <w:lastRenderedPageBreak/>
        <w:t>установлено (гл.8).</w:t>
      </w:r>
      <w:r>
        <w:rPr>
          <w:rFonts w:ascii="Open Sans" w:hAnsi="Open Sans" w:cs="Open Sans"/>
          <w:color w:val="444444"/>
          <w:sz w:val="21"/>
          <w:szCs w:val="21"/>
        </w:rPr>
        <w:br/>
        <w:t>Наиболее благоприятны для автоматизации контроля вихретоковые, магнитные методы с феррозондовыми и индукционными преобразователями; радиационный радиометрический и некоторые тепловые методы. Главные их преимущества заключаются в отсутствии механического контакта преобразователя с объектом и представлении информации о дефектах в виде показаний приборов. Перечисленным методам уступает ультразвуковой метод, для которого, как правило, необходим акустический контакт преобразователей с изделием, например через слой воды. Трудность автоматизации других методов заключается в необходимости визуальной обработки информации о дефектах, которую эти методы представляют.</w:t>
      </w:r>
      <w:r>
        <w:rPr>
          <w:rFonts w:ascii="Open Sans" w:hAnsi="Open Sans" w:cs="Open Sans"/>
          <w:color w:val="444444"/>
          <w:sz w:val="21"/>
          <w:szCs w:val="21"/>
        </w:rPr>
        <w:br/>
        <w:t>По стоимости выполнения контроля наиболее дорогие методы — радиографические и течеискания. Это связано с длительностью операций контроля, а также необходимостью капитальных затрат на оборудование и помещения. Низка производительность также у капиллярного контроля. Если сравнить затраты на проведение радиационного и ультразвукового контроля сварных соединений толщиной 10...20 мм, то для ультразвукового контроля они будут в 3...5 раз меньше. Преимущество будет возрастать с увеличением толщины сварных соединений.</w:t>
      </w:r>
      <w:r>
        <w:rPr>
          <w:rFonts w:ascii="Open Sans" w:hAnsi="Open Sans" w:cs="Open Sans"/>
          <w:color w:val="444444"/>
          <w:sz w:val="21"/>
          <w:szCs w:val="21"/>
        </w:rPr>
        <w:br/>
        <w:t>Функциональные особенности видов НК определяют принципиальные возможности и рациональные области применения методов НК. (табл. 1.2 и 1.3). Определения упоминаемых в табл. 1.2 дефектов, причины их возникновения и способы исправления рассмотрены в гл. 5. Для контроля качества ответственных объектов необходимо использовать системы НК, включающие несколько дополняющих друг друга методов [2, 8, 10, 14, 18, 21]. Подробнее системы контроля рассмотрены в гл. 6.</w:t>
      </w:r>
    </w:p>
    <w:p w14:paraId="2CDDF37E" w14:textId="77777777" w:rsidR="007F10E9" w:rsidRDefault="007F10E9" w:rsidP="00730844">
      <w:pPr>
        <w:pStyle w:val="a3"/>
        <w:shd w:val="clear" w:color="auto" w:fill="FFFFFF"/>
        <w:spacing w:before="225" w:beforeAutospacing="0" w:after="225" w:afterAutospacing="0"/>
        <w:jc w:val="both"/>
        <w:rPr>
          <w:rFonts w:ascii="Open Sans" w:hAnsi="Open Sans" w:cs="Open Sans"/>
          <w:color w:val="444444"/>
          <w:sz w:val="21"/>
          <w:szCs w:val="21"/>
        </w:rPr>
      </w:pPr>
      <w:r w:rsidRPr="006912F4">
        <w:rPr>
          <w:rFonts w:ascii="Open Sans" w:hAnsi="Open Sans" w:cs="Open Sans"/>
          <w:color w:val="444444"/>
          <w:sz w:val="21"/>
          <w:szCs w:val="21"/>
        </w:rPr>
        <w:t>Таблица</w:t>
      </w:r>
      <w:r>
        <w:rPr>
          <w:rFonts w:ascii="Open Sans" w:hAnsi="Open Sans" w:cs="Open Sans"/>
          <w:color w:val="444444"/>
          <w:sz w:val="21"/>
          <w:szCs w:val="21"/>
        </w:rPr>
        <w:t xml:space="preserve"> </w:t>
      </w:r>
      <w:r w:rsidRPr="006912F4">
        <w:rPr>
          <w:rFonts w:ascii="Open Sans" w:hAnsi="Open Sans" w:cs="Open Sans"/>
          <w:color w:val="444444"/>
          <w:sz w:val="21"/>
          <w:szCs w:val="21"/>
        </w:rPr>
        <w:t>1.2</w:t>
      </w:r>
    </w:p>
    <w:p w14:paraId="5467162C" w14:textId="59D2F1E7" w:rsidR="007F10E9" w:rsidRDefault="007F10E9" w:rsidP="00730844">
      <w:pPr>
        <w:pStyle w:val="a3"/>
        <w:shd w:val="clear" w:color="auto" w:fill="FFFFFF"/>
        <w:spacing w:before="225" w:beforeAutospacing="0" w:after="225" w:afterAutospacing="0"/>
        <w:jc w:val="both"/>
        <w:rPr>
          <w:rFonts w:ascii="Open Sans" w:hAnsi="Open Sans" w:cs="Open Sans"/>
          <w:color w:val="444444"/>
          <w:sz w:val="21"/>
          <w:szCs w:val="21"/>
        </w:rPr>
      </w:pPr>
      <w:r w:rsidRPr="006912F4">
        <w:rPr>
          <w:rFonts w:ascii="Open Sans" w:hAnsi="Open Sans" w:cs="Open Sans"/>
          <w:color w:val="444444"/>
          <w:sz w:val="21"/>
          <w:szCs w:val="21"/>
        </w:rPr>
        <w:t>Рекомендации по выбору метода НК в зависимости от характера дефектов</w:t>
      </w:r>
    </w:p>
    <w:tbl>
      <w:tblPr>
        <w:tblW w:w="9328" w:type="dxa"/>
        <w:shd w:val="clear" w:color="auto" w:fill="FFFFFF"/>
        <w:tblCellMar>
          <w:left w:w="0" w:type="dxa"/>
          <w:right w:w="0" w:type="dxa"/>
        </w:tblCellMar>
        <w:tblLook w:val="04A0" w:firstRow="1" w:lastRow="0" w:firstColumn="1" w:lastColumn="0" w:noHBand="0" w:noVBand="1"/>
      </w:tblPr>
      <w:tblGrid>
        <w:gridCol w:w="9328"/>
      </w:tblGrid>
      <w:tr w:rsidR="007F10E9" w:rsidRPr="006912F4" w14:paraId="77E48589" w14:textId="77777777" w:rsidTr="007F10E9">
        <w:tc>
          <w:tcPr>
            <w:tcW w:w="9328" w:type="dxa"/>
            <w:shd w:val="clear" w:color="auto" w:fill="FFFFFF"/>
            <w:hideMark/>
          </w:tcPr>
          <w:p w14:paraId="4DEF7EE9" w14:textId="498C2BF0" w:rsidR="007F10E9" w:rsidRPr="006912F4" w:rsidRDefault="007F10E9" w:rsidP="006912F4">
            <w:pPr>
              <w:spacing w:after="225" w:line="240" w:lineRule="auto"/>
              <w:rPr>
                <w:rFonts w:ascii="Open Sans" w:eastAsia="Times New Roman" w:hAnsi="Open Sans" w:cs="Open Sans"/>
                <w:color w:val="444444"/>
                <w:kern w:val="0"/>
                <w:sz w:val="21"/>
                <w:szCs w:val="21"/>
                <w:lang w:eastAsia="ru-RU"/>
                <w14:ligatures w14:val="none"/>
              </w:rPr>
            </w:pPr>
            <w:r w:rsidRPr="006912F4">
              <w:rPr>
                <w:rFonts w:ascii="Open Sans" w:eastAsia="Times New Roman" w:hAnsi="Open Sans" w:cs="Open Sans"/>
                <w:noProof/>
                <w:color w:val="444444"/>
                <w:kern w:val="0"/>
                <w:sz w:val="21"/>
                <w:szCs w:val="21"/>
                <w:lang w:eastAsia="ru-RU"/>
                <w14:ligatures w14:val="none"/>
              </w:rPr>
              <w:lastRenderedPageBreak/>
              <w:drawing>
                <wp:inline distT="0" distB="0" distL="0" distR="0" wp14:anchorId="3B7A7C93" wp14:editId="098835FF">
                  <wp:extent cx="5585460" cy="9144000"/>
                  <wp:effectExtent l="0" t="0" r="0" b="0"/>
                  <wp:docPr id="175937854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85460" cy="9144000"/>
                          </a:xfrm>
                          <a:prstGeom prst="rect">
                            <a:avLst/>
                          </a:prstGeom>
                          <a:noFill/>
                          <a:ln>
                            <a:noFill/>
                          </a:ln>
                        </pic:spPr>
                      </pic:pic>
                    </a:graphicData>
                  </a:graphic>
                </wp:inline>
              </w:drawing>
            </w:r>
          </w:p>
        </w:tc>
      </w:tr>
      <w:tr w:rsidR="007F10E9" w:rsidRPr="006912F4" w14:paraId="545C22A3" w14:textId="77777777" w:rsidTr="007F10E9">
        <w:tc>
          <w:tcPr>
            <w:tcW w:w="9328" w:type="dxa"/>
            <w:shd w:val="clear" w:color="auto" w:fill="FFFFFF"/>
            <w:hideMark/>
          </w:tcPr>
          <w:p w14:paraId="02DF8774" w14:textId="22624570" w:rsidR="007F10E9" w:rsidRPr="006912F4" w:rsidRDefault="007F10E9" w:rsidP="006912F4">
            <w:pPr>
              <w:spacing w:after="225" w:line="240" w:lineRule="auto"/>
              <w:rPr>
                <w:rFonts w:ascii="Open Sans" w:eastAsia="Times New Roman" w:hAnsi="Open Sans" w:cs="Open Sans"/>
                <w:color w:val="444444"/>
                <w:kern w:val="0"/>
                <w:sz w:val="21"/>
                <w:szCs w:val="21"/>
                <w:lang w:eastAsia="ru-RU"/>
                <w14:ligatures w14:val="none"/>
              </w:rPr>
            </w:pPr>
            <w:r w:rsidRPr="006912F4">
              <w:rPr>
                <w:rFonts w:ascii="Open Sans" w:eastAsia="Times New Roman" w:hAnsi="Open Sans" w:cs="Open Sans"/>
                <w:noProof/>
                <w:color w:val="444444"/>
                <w:kern w:val="0"/>
                <w:sz w:val="21"/>
                <w:szCs w:val="21"/>
                <w:lang w:eastAsia="ru-RU"/>
                <w14:ligatures w14:val="none"/>
              </w:rPr>
              <w:lastRenderedPageBreak/>
              <w:drawing>
                <wp:inline distT="0" distB="0" distL="0" distR="0" wp14:anchorId="6509F2EF" wp14:editId="66CB5AAB">
                  <wp:extent cx="5783580" cy="8991600"/>
                  <wp:effectExtent l="0" t="0" r="7620" b="0"/>
                  <wp:docPr id="142009345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3580" cy="8991600"/>
                          </a:xfrm>
                          <a:prstGeom prst="rect">
                            <a:avLst/>
                          </a:prstGeom>
                          <a:noFill/>
                          <a:ln>
                            <a:noFill/>
                          </a:ln>
                        </pic:spPr>
                      </pic:pic>
                    </a:graphicData>
                  </a:graphic>
                </wp:inline>
              </w:drawing>
            </w:r>
          </w:p>
        </w:tc>
      </w:tr>
      <w:tr w:rsidR="007F10E9" w:rsidRPr="006912F4" w14:paraId="1C2E3C89" w14:textId="77777777" w:rsidTr="007F10E9">
        <w:tc>
          <w:tcPr>
            <w:tcW w:w="9328" w:type="dxa"/>
            <w:shd w:val="clear" w:color="auto" w:fill="FFFFFF"/>
            <w:hideMark/>
          </w:tcPr>
          <w:p w14:paraId="238E10FB" w14:textId="4704A939" w:rsidR="007F10E9" w:rsidRPr="006912F4" w:rsidRDefault="007F10E9" w:rsidP="006912F4">
            <w:pPr>
              <w:spacing w:after="225" w:line="240" w:lineRule="auto"/>
              <w:rPr>
                <w:rFonts w:ascii="Open Sans" w:eastAsia="Times New Roman" w:hAnsi="Open Sans" w:cs="Open Sans"/>
                <w:color w:val="444444"/>
                <w:kern w:val="0"/>
                <w:sz w:val="21"/>
                <w:szCs w:val="21"/>
                <w:lang w:eastAsia="ru-RU"/>
                <w14:ligatures w14:val="none"/>
              </w:rPr>
            </w:pPr>
            <w:r w:rsidRPr="006912F4">
              <w:rPr>
                <w:rFonts w:ascii="Open Sans" w:eastAsia="Times New Roman" w:hAnsi="Open Sans" w:cs="Open Sans"/>
                <w:noProof/>
                <w:color w:val="444444"/>
                <w:kern w:val="0"/>
                <w:sz w:val="21"/>
                <w:szCs w:val="21"/>
                <w:lang w:eastAsia="ru-RU"/>
                <w14:ligatures w14:val="none"/>
              </w:rPr>
              <w:lastRenderedPageBreak/>
              <w:drawing>
                <wp:inline distT="0" distB="0" distL="0" distR="0" wp14:anchorId="49B9AB5E" wp14:editId="6BB2D790">
                  <wp:extent cx="5859780" cy="9067800"/>
                  <wp:effectExtent l="0" t="0" r="7620" b="0"/>
                  <wp:docPr id="7544776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59780" cy="9067800"/>
                          </a:xfrm>
                          <a:prstGeom prst="rect">
                            <a:avLst/>
                          </a:prstGeom>
                          <a:noFill/>
                          <a:ln>
                            <a:noFill/>
                          </a:ln>
                        </pic:spPr>
                      </pic:pic>
                    </a:graphicData>
                  </a:graphic>
                </wp:inline>
              </w:drawing>
            </w:r>
          </w:p>
        </w:tc>
      </w:tr>
      <w:tr w:rsidR="007F10E9" w:rsidRPr="006912F4" w14:paraId="0EC77255" w14:textId="77777777" w:rsidTr="007F10E9">
        <w:tc>
          <w:tcPr>
            <w:tcW w:w="9328" w:type="dxa"/>
            <w:shd w:val="clear" w:color="auto" w:fill="FFFFFF"/>
            <w:hideMark/>
          </w:tcPr>
          <w:p w14:paraId="6D91D5E4" w14:textId="1DB39803" w:rsidR="007F10E9" w:rsidRPr="006912F4" w:rsidRDefault="007F10E9" w:rsidP="006912F4">
            <w:pPr>
              <w:spacing w:after="225" w:line="240" w:lineRule="auto"/>
              <w:rPr>
                <w:rFonts w:ascii="Open Sans" w:eastAsia="Times New Roman" w:hAnsi="Open Sans" w:cs="Open Sans"/>
                <w:color w:val="444444"/>
                <w:kern w:val="0"/>
                <w:sz w:val="21"/>
                <w:szCs w:val="21"/>
                <w:lang w:eastAsia="ru-RU"/>
                <w14:ligatures w14:val="none"/>
              </w:rPr>
            </w:pPr>
            <w:r w:rsidRPr="006912F4">
              <w:rPr>
                <w:rFonts w:ascii="Open Sans" w:eastAsia="Times New Roman" w:hAnsi="Open Sans" w:cs="Open Sans"/>
                <w:noProof/>
                <w:color w:val="444444"/>
                <w:kern w:val="0"/>
                <w:sz w:val="21"/>
                <w:szCs w:val="21"/>
                <w:lang w:eastAsia="ru-RU"/>
                <w14:ligatures w14:val="none"/>
              </w:rPr>
              <w:lastRenderedPageBreak/>
              <w:drawing>
                <wp:inline distT="0" distB="0" distL="0" distR="0" wp14:anchorId="72F0083E" wp14:editId="3D771D80">
                  <wp:extent cx="5852160" cy="8991600"/>
                  <wp:effectExtent l="0" t="0" r="0" b="0"/>
                  <wp:docPr id="1158425864"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52160" cy="8991600"/>
                          </a:xfrm>
                          <a:prstGeom prst="rect">
                            <a:avLst/>
                          </a:prstGeom>
                          <a:noFill/>
                          <a:ln>
                            <a:noFill/>
                          </a:ln>
                        </pic:spPr>
                      </pic:pic>
                    </a:graphicData>
                  </a:graphic>
                </wp:inline>
              </w:drawing>
            </w:r>
          </w:p>
        </w:tc>
      </w:tr>
      <w:tr w:rsidR="007F10E9" w:rsidRPr="006912F4" w14:paraId="64D1C235" w14:textId="77777777" w:rsidTr="007F10E9">
        <w:tc>
          <w:tcPr>
            <w:tcW w:w="9328" w:type="dxa"/>
            <w:shd w:val="clear" w:color="auto" w:fill="FFFFFF"/>
            <w:hideMark/>
          </w:tcPr>
          <w:p w14:paraId="248386A9" w14:textId="7B2417B7" w:rsidR="007F10E9" w:rsidRPr="006912F4" w:rsidRDefault="007F10E9" w:rsidP="006912F4">
            <w:pPr>
              <w:spacing w:after="225" w:line="240" w:lineRule="auto"/>
              <w:rPr>
                <w:rFonts w:ascii="Open Sans" w:eastAsia="Times New Roman" w:hAnsi="Open Sans" w:cs="Open Sans"/>
                <w:color w:val="444444"/>
                <w:kern w:val="0"/>
                <w:sz w:val="21"/>
                <w:szCs w:val="21"/>
                <w:lang w:eastAsia="ru-RU"/>
                <w14:ligatures w14:val="none"/>
              </w:rPr>
            </w:pPr>
            <w:r w:rsidRPr="006912F4">
              <w:rPr>
                <w:rFonts w:ascii="Open Sans" w:eastAsia="Times New Roman" w:hAnsi="Open Sans" w:cs="Open Sans"/>
                <w:noProof/>
                <w:color w:val="444444"/>
                <w:kern w:val="0"/>
                <w:sz w:val="21"/>
                <w:szCs w:val="21"/>
                <w:lang w:eastAsia="ru-RU"/>
                <w14:ligatures w14:val="none"/>
              </w:rPr>
              <w:lastRenderedPageBreak/>
              <w:drawing>
                <wp:inline distT="0" distB="0" distL="0" distR="0" wp14:anchorId="7D791D38" wp14:editId="5BC36518">
                  <wp:extent cx="5669280" cy="9220200"/>
                  <wp:effectExtent l="0" t="0" r="7620" b="0"/>
                  <wp:docPr id="16696813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69280" cy="9220200"/>
                          </a:xfrm>
                          <a:prstGeom prst="rect">
                            <a:avLst/>
                          </a:prstGeom>
                          <a:noFill/>
                          <a:ln>
                            <a:noFill/>
                          </a:ln>
                        </pic:spPr>
                      </pic:pic>
                    </a:graphicData>
                  </a:graphic>
                </wp:inline>
              </w:drawing>
            </w:r>
          </w:p>
        </w:tc>
      </w:tr>
      <w:tr w:rsidR="007F10E9" w:rsidRPr="006912F4" w14:paraId="7670C00C" w14:textId="77777777" w:rsidTr="007F10E9">
        <w:tc>
          <w:tcPr>
            <w:tcW w:w="9328" w:type="dxa"/>
            <w:shd w:val="clear" w:color="auto" w:fill="FFFFFF"/>
            <w:hideMark/>
          </w:tcPr>
          <w:p w14:paraId="4B5AD380" w14:textId="1CF4C4E4" w:rsidR="007F10E9" w:rsidRPr="006912F4" w:rsidRDefault="007F10E9" w:rsidP="006912F4">
            <w:pPr>
              <w:spacing w:after="225" w:line="240" w:lineRule="auto"/>
              <w:rPr>
                <w:rFonts w:ascii="Open Sans" w:eastAsia="Times New Roman" w:hAnsi="Open Sans" w:cs="Open Sans"/>
                <w:color w:val="444444"/>
                <w:kern w:val="0"/>
                <w:sz w:val="21"/>
                <w:szCs w:val="21"/>
                <w:lang w:eastAsia="ru-RU"/>
                <w14:ligatures w14:val="none"/>
              </w:rPr>
            </w:pPr>
            <w:r w:rsidRPr="006912F4">
              <w:rPr>
                <w:rFonts w:ascii="Open Sans" w:eastAsia="Times New Roman" w:hAnsi="Open Sans" w:cs="Open Sans"/>
                <w:noProof/>
                <w:color w:val="444444"/>
                <w:kern w:val="0"/>
                <w:sz w:val="21"/>
                <w:szCs w:val="21"/>
                <w:lang w:eastAsia="ru-RU"/>
                <w14:ligatures w14:val="none"/>
              </w:rPr>
              <w:lastRenderedPageBreak/>
              <w:drawing>
                <wp:inline distT="0" distB="0" distL="0" distR="0" wp14:anchorId="2A62E05C" wp14:editId="1BA17AE8">
                  <wp:extent cx="5852160" cy="9220200"/>
                  <wp:effectExtent l="0" t="0" r="0" b="0"/>
                  <wp:docPr id="54473394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52160" cy="9220200"/>
                          </a:xfrm>
                          <a:prstGeom prst="rect">
                            <a:avLst/>
                          </a:prstGeom>
                          <a:noFill/>
                          <a:ln>
                            <a:noFill/>
                          </a:ln>
                        </pic:spPr>
                      </pic:pic>
                    </a:graphicData>
                  </a:graphic>
                </wp:inline>
              </w:drawing>
            </w:r>
          </w:p>
        </w:tc>
      </w:tr>
    </w:tbl>
    <w:p w14:paraId="352DA880" w14:textId="537BE189" w:rsidR="00A50343" w:rsidRDefault="007F10E9">
      <w:pPr>
        <w:rPr>
          <w:rFonts w:ascii="Open Sans" w:eastAsia="Times New Roman" w:hAnsi="Open Sans" w:cs="Open Sans"/>
          <w:color w:val="444444"/>
          <w:kern w:val="0"/>
          <w:sz w:val="21"/>
          <w:szCs w:val="21"/>
          <w:lang w:eastAsia="ru-RU"/>
          <w14:ligatures w14:val="none"/>
        </w:rPr>
      </w:pPr>
      <w:r w:rsidRPr="006912F4">
        <w:rPr>
          <w:rFonts w:ascii="Open Sans" w:eastAsia="Times New Roman" w:hAnsi="Open Sans" w:cs="Open Sans"/>
          <w:color w:val="444444"/>
          <w:kern w:val="0"/>
          <w:sz w:val="21"/>
          <w:szCs w:val="21"/>
          <w:lang w:eastAsia="ru-RU"/>
          <w14:ligatures w14:val="none"/>
        </w:rPr>
        <w:lastRenderedPageBreak/>
        <w:t>Таблица 1.3</w:t>
      </w:r>
      <w:r w:rsidRPr="006912F4">
        <w:rPr>
          <w:rFonts w:ascii="Open Sans" w:eastAsia="Times New Roman" w:hAnsi="Open Sans" w:cs="Open Sans"/>
          <w:color w:val="444444"/>
          <w:kern w:val="0"/>
          <w:sz w:val="21"/>
          <w:szCs w:val="21"/>
          <w:lang w:eastAsia="ru-RU"/>
          <w14:ligatures w14:val="none"/>
        </w:rPr>
        <w:br/>
        <w:t>Рекомендации по выбору метода НК в зависимости от материала (изделия) и условий контроля (2)</w:t>
      </w:r>
    </w:p>
    <w:p w14:paraId="2A5D0D1F" w14:textId="77777777" w:rsidR="00A725EE" w:rsidRDefault="00A725EE">
      <w:pPr>
        <w:rPr>
          <w:rFonts w:ascii="Open Sans" w:eastAsia="Times New Roman" w:hAnsi="Open Sans" w:cs="Open Sans"/>
          <w:color w:val="444444"/>
          <w:kern w:val="0"/>
          <w:sz w:val="21"/>
          <w:szCs w:val="21"/>
          <w:lang w:eastAsia="ru-RU"/>
          <w14:ligatures w14:val="none"/>
        </w:rPr>
      </w:pPr>
    </w:p>
    <w:p w14:paraId="2D566403" w14:textId="77777777" w:rsidR="00A725EE" w:rsidRDefault="00A725EE">
      <w:pPr>
        <w:rPr>
          <w:rFonts w:ascii="Open Sans" w:eastAsia="Times New Roman" w:hAnsi="Open Sans" w:cs="Open Sans"/>
          <w:color w:val="444444"/>
          <w:kern w:val="0"/>
          <w:sz w:val="21"/>
          <w:szCs w:val="21"/>
          <w:lang w:eastAsia="ru-RU"/>
          <w14:ligatures w14:val="none"/>
        </w:rPr>
      </w:pPr>
    </w:p>
    <w:p w14:paraId="6485812D" w14:textId="02A4C30A" w:rsidR="00A725EE" w:rsidRDefault="00A725EE">
      <w:r>
        <w:rPr>
          <w:rFonts w:ascii="Open Sans" w:hAnsi="Open Sans" w:cs="Open Sans"/>
          <w:color w:val="444444"/>
          <w:sz w:val="21"/>
          <w:szCs w:val="21"/>
          <w:shd w:val="clear" w:color="auto" w:fill="FFFFFF"/>
        </w:rPr>
        <w:t>1 На склад поступила продукция: выращенные в институте кристаллы кварца и в совхозе лимоны, а также комплекты радиодеталей к приемникам конкретного типа и олово для их распайки. К каким видам продукции относятся кристаллы, лимоны, комплекты и олово?</w:t>
      </w:r>
      <w:r>
        <w:rPr>
          <w:rFonts w:ascii="Open Sans" w:hAnsi="Open Sans" w:cs="Open Sans"/>
          <w:color w:val="444444"/>
          <w:sz w:val="21"/>
          <w:szCs w:val="21"/>
        </w:rPr>
        <w:br/>
      </w:r>
      <w:r>
        <w:rPr>
          <w:rFonts w:ascii="Open Sans" w:hAnsi="Open Sans" w:cs="Open Sans"/>
          <w:color w:val="444444"/>
          <w:sz w:val="21"/>
          <w:szCs w:val="21"/>
          <w:shd w:val="clear" w:color="auto" w:fill="FFFFFF"/>
        </w:rPr>
        <w:t>2 Что определяют термины «тип» и «вид» дефекта? Могут ли дефекты различного типа принадлежать к одному виду? Приведите пример.</w:t>
      </w:r>
      <w:r>
        <w:rPr>
          <w:rFonts w:ascii="Open Sans" w:hAnsi="Open Sans" w:cs="Open Sans"/>
          <w:color w:val="444444"/>
          <w:sz w:val="21"/>
          <w:szCs w:val="21"/>
        </w:rPr>
        <w:br/>
      </w:r>
      <w:r>
        <w:rPr>
          <w:rFonts w:ascii="Open Sans" w:hAnsi="Open Sans" w:cs="Open Sans"/>
          <w:color w:val="444444"/>
          <w:sz w:val="21"/>
          <w:szCs w:val="21"/>
          <w:shd w:val="clear" w:color="auto" w:fill="FFFFFF"/>
        </w:rPr>
        <w:t>3 При проверке дефектоскопа, поступившего с завода-изготовителя, установлена его работоспособность; в то же время обнаружено отслаивание покрытия на лицевой панели дефектоскопа с повреждением отдельных букв в надписях к органам управления. Что это — дефект, неисправность или отказ? Если дефект, то дайте его полную характеристику.</w:t>
      </w:r>
      <w:r>
        <w:rPr>
          <w:rFonts w:ascii="Open Sans" w:hAnsi="Open Sans" w:cs="Open Sans"/>
          <w:color w:val="444444"/>
          <w:sz w:val="21"/>
          <w:szCs w:val="21"/>
        </w:rPr>
        <w:br/>
      </w:r>
      <w:r>
        <w:rPr>
          <w:rFonts w:ascii="Open Sans" w:hAnsi="Open Sans" w:cs="Open Sans"/>
          <w:color w:val="444444"/>
          <w:sz w:val="21"/>
          <w:szCs w:val="21"/>
          <w:shd w:val="clear" w:color="auto" w:fill="FFFFFF"/>
        </w:rPr>
        <w:t>4 Выберите из имеющихся перед вами какой-либо объект (изделие) и выпишите перечень свойств, которые, по вашему мнению, определяют качество объектов данного типа; установите коэффициенты весомости л для каждого единичного показателя качества (</w:t>
      </w:r>
      <w:r>
        <w:rPr>
          <w:rStyle w:val="a4"/>
          <w:rFonts w:ascii="Open Sans" w:hAnsi="Open Sans" w:cs="Open Sans"/>
          <w:color w:val="DD0055"/>
          <w:sz w:val="21"/>
          <w:szCs w:val="21"/>
          <w:shd w:val="clear" w:color="auto" w:fill="FFFFFF"/>
        </w:rPr>
        <w:t>n</w:t>
      </w:r>
      <w:r>
        <w:rPr>
          <w:rFonts w:ascii="Open Sans" w:hAnsi="Open Sans" w:cs="Open Sans"/>
          <w:color w:val="444444"/>
          <w:sz w:val="21"/>
          <w:szCs w:val="21"/>
          <w:shd w:val="clear" w:color="auto" w:fill="FFFFFF"/>
        </w:rPr>
        <w:t>=1,10) и затем оцените баллом </w:t>
      </w:r>
      <w:r>
        <w:rPr>
          <w:rStyle w:val="a4"/>
          <w:rFonts w:ascii="Open Sans" w:hAnsi="Open Sans" w:cs="Open Sans"/>
          <w:color w:val="DD0055"/>
          <w:sz w:val="21"/>
          <w:szCs w:val="21"/>
          <w:shd w:val="clear" w:color="auto" w:fill="FFFFFF"/>
        </w:rPr>
        <w:t>j</w:t>
      </w:r>
      <w:r>
        <w:rPr>
          <w:rFonts w:ascii="Open Sans" w:hAnsi="Open Sans" w:cs="Open Sans"/>
          <w:color w:val="444444"/>
          <w:sz w:val="21"/>
          <w:szCs w:val="21"/>
          <w:shd w:val="clear" w:color="auto" w:fill="FFFFFF"/>
        </w:rPr>
        <w:t>(</w:t>
      </w:r>
      <w:r>
        <w:rPr>
          <w:rStyle w:val="a4"/>
          <w:rFonts w:ascii="Open Sans" w:hAnsi="Open Sans" w:cs="Open Sans"/>
          <w:color w:val="DD0055"/>
          <w:sz w:val="21"/>
          <w:szCs w:val="21"/>
          <w:shd w:val="clear" w:color="auto" w:fill="FFFFFF"/>
        </w:rPr>
        <w:t>j</w:t>
      </w:r>
      <w:r>
        <w:rPr>
          <w:rFonts w:ascii="Open Sans" w:hAnsi="Open Sans" w:cs="Open Sans"/>
          <w:color w:val="444444"/>
          <w:sz w:val="21"/>
          <w:szCs w:val="21"/>
          <w:shd w:val="clear" w:color="auto" w:fill="FFFFFF"/>
        </w:rPr>
        <w:t>= 3,2,1,0) каждый единичный показатель качества рассматриваемого вами объекта. По формуле (1.2) рассчитайте значение комплексного показателя качества </w:t>
      </w:r>
      <w:r>
        <w:rPr>
          <w:rStyle w:val="a4"/>
          <w:rFonts w:ascii="Open Sans" w:hAnsi="Open Sans" w:cs="Open Sans"/>
          <w:color w:val="DD0055"/>
          <w:sz w:val="21"/>
          <w:szCs w:val="21"/>
          <w:shd w:val="clear" w:color="auto" w:fill="FFFFFF"/>
        </w:rPr>
        <w:t>G</w:t>
      </w:r>
      <w:r>
        <w:rPr>
          <w:rFonts w:ascii="Open Sans" w:hAnsi="Open Sans" w:cs="Open Sans"/>
          <w:color w:val="444444"/>
          <w:sz w:val="21"/>
          <w:szCs w:val="21"/>
          <w:shd w:val="clear" w:color="auto" w:fill="FFFFFF"/>
        </w:rPr>
        <w:t> выбранного вами объекта и оцените уровень его качества, если базовый комплексный показатель качества рассчитан из условия, что все единичные показатели качества оценены баллом </w:t>
      </w:r>
      <w:r>
        <w:rPr>
          <w:rStyle w:val="a4"/>
          <w:rFonts w:ascii="Open Sans" w:hAnsi="Open Sans" w:cs="Open Sans"/>
          <w:color w:val="DD0055"/>
          <w:sz w:val="21"/>
          <w:szCs w:val="21"/>
          <w:shd w:val="clear" w:color="auto" w:fill="FFFFFF"/>
        </w:rPr>
        <w:t>j</w:t>
      </w:r>
      <w:r>
        <w:rPr>
          <w:rFonts w:ascii="Open Sans" w:hAnsi="Open Sans" w:cs="Open Sans"/>
          <w:color w:val="444444"/>
          <w:sz w:val="21"/>
          <w:szCs w:val="21"/>
          <w:shd w:val="clear" w:color="auto" w:fill="FFFFFF"/>
        </w:rPr>
        <w:t>=3.</w:t>
      </w:r>
    </w:p>
    <w:sectPr w:rsidR="00A725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343"/>
    <w:rsid w:val="000B75EC"/>
    <w:rsid w:val="00104A5B"/>
    <w:rsid w:val="006912F4"/>
    <w:rsid w:val="00730844"/>
    <w:rsid w:val="007C20D2"/>
    <w:rsid w:val="007F10E9"/>
    <w:rsid w:val="00815D0C"/>
    <w:rsid w:val="00A50343"/>
    <w:rsid w:val="00A50F26"/>
    <w:rsid w:val="00A725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77C2C"/>
  <w15:chartTrackingRefBased/>
  <w15:docId w15:val="{B7B9DBFD-9062-475A-9F55-AC1B900A6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815D0C"/>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paragraph" w:styleId="4">
    <w:name w:val="heading 4"/>
    <w:basedOn w:val="a"/>
    <w:link w:val="40"/>
    <w:uiPriority w:val="9"/>
    <w:qFormat/>
    <w:rsid w:val="00815D0C"/>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15D0C"/>
    <w:rPr>
      <w:rFonts w:ascii="Times New Roman" w:eastAsia="Times New Roman" w:hAnsi="Times New Roman" w:cs="Times New Roman"/>
      <w:b/>
      <w:bCs/>
      <w:kern w:val="0"/>
      <w:sz w:val="36"/>
      <w:szCs w:val="36"/>
      <w:lang w:eastAsia="ru-RU"/>
      <w14:ligatures w14:val="none"/>
    </w:rPr>
  </w:style>
  <w:style w:type="character" w:customStyle="1" w:styleId="40">
    <w:name w:val="Заголовок 4 Знак"/>
    <w:basedOn w:val="a0"/>
    <w:link w:val="4"/>
    <w:uiPriority w:val="9"/>
    <w:rsid w:val="00815D0C"/>
    <w:rPr>
      <w:rFonts w:ascii="Times New Roman" w:eastAsia="Times New Roman" w:hAnsi="Times New Roman" w:cs="Times New Roman"/>
      <w:b/>
      <w:bCs/>
      <w:kern w:val="0"/>
      <w:sz w:val="24"/>
      <w:szCs w:val="24"/>
      <w:lang w:eastAsia="ru-RU"/>
      <w14:ligatures w14:val="none"/>
    </w:rPr>
  </w:style>
  <w:style w:type="paragraph" w:styleId="a3">
    <w:name w:val="Normal (Web)"/>
    <w:basedOn w:val="a"/>
    <w:uiPriority w:val="99"/>
    <w:semiHidden/>
    <w:unhideWhenUsed/>
    <w:rsid w:val="00815D0C"/>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815D0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47044">
      <w:bodyDiv w:val="1"/>
      <w:marLeft w:val="0"/>
      <w:marRight w:val="0"/>
      <w:marTop w:val="0"/>
      <w:marBottom w:val="0"/>
      <w:divBdr>
        <w:top w:val="none" w:sz="0" w:space="0" w:color="auto"/>
        <w:left w:val="none" w:sz="0" w:space="0" w:color="auto"/>
        <w:bottom w:val="none" w:sz="0" w:space="0" w:color="auto"/>
        <w:right w:val="none" w:sz="0" w:space="0" w:color="auto"/>
      </w:divBdr>
    </w:div>
    <w:div w:id="54551186">
      <w:bodyDiv w:val="1"/>
      <w:marLeft w:val="0"/>
      <w:marRight w:val="0"/>
      <w:marTop w:val="0"/>
      <w:marBottom w:val="0"/>
      <w:divBdr>
        <w:top w:val="none" w:sz="0" w:space="0" w:color="auto"/>
        <w:left w:val="none" w:sz="0" w:space="0" w:color="auto"/>
        <w:bottom w:val="none" w:sz="0" w:space="0" w:color="auto"/>
        <w:right w:val="none" w:sz="0" w:space="0" w:color="auto"/>
      </w:divBdr>
    </w:div>
    <w:div w:id="888614426">
      <w:bodyDiv w:val="1"/>
      <w:marLeft w:val="0"/>
      <w:marRight w:val="0"/>
      <w:marTop w:val="0"/>
      <w:marBottom w:val="0"/>
      <w:divBdr>
        <w:top w:val="none" w:sz="0" w:space="0" w:color="auto"/>
        <w:left w:val="none" w:sz="0" w:space="0" w:color="auto"/>
        <w:bottom w:val="none" w:sz="0" w:space="0" w:color="auto"/>
        <w:right w:val="none" w:sz="0" w:space="0" w:color="auto"/>
      </w:divBdr>
    </w:div>
    <w:div w:id="892741436">
      <w:bodyDiv w:val="1"/>
      <w:marLeft w:val="0"/>
      <w:marRight w:val="0"/>
      <w:marTop w:val="0"/>
      <w:marBottom w:val="0"/>
      <w:divBdr>
        <w:top w:val="none" w:sz="0" w:space="0" w:color="auto"/>
        <w:left w:val="none" w:sz="0" w:space="0" w:color="auto"/>
        <w:bottom w:val="none" w:sz="0" w:space="0" w:color="auto"/>
        <w:right w:val="none" w:sz="0" w:space="0" w:color="auto"/>
      </w:divBdr>
    </w:div>
    <w:div w:id="1003554968">
      <w:bodyDiv w:val="1"/>
      <w:marLeft w:val="0"/>
      <w:marRight w:val="0"/>
      <w:marTop w:val="0"/>
      <w:marBottom w:val="0"/>
      <w:divBdr>
        <w:top w:val="none" w:sz="0" w:space="0" w:color="auto"/>
        <w:left w:val="none" w:sz="0" w:space="0" w:color="auto"/>
        <w:bottom w:val="none" w:sz="0" w:space="0" w:color="auto"/>
        <w:right w:val="none" w:sz="0" w:space="0" w:color="auto"/>
      </w:divBdr>
    </w:div>
    <w:div w:id="1063022141">
      <w:bodyDiv w:val="1"/>
      <w:marLeft w:val="0"/>
      <w:marRight w:val="0"/>
      <w:marTop w:val="0"/>
      <w:marBottom w:val="0"/>
      <w:divBdr>
        <w:top w:val="none" w:sz="0" w:space="0" w:color="auto"/>
        <w:left w:val="none" w:sz="0" w:space="0" w:color="auto"/>
        <w:bottom w:val="none" w:sz="0" w:space="0" w:color="auto"/>
        <w:right w:val="none" w:sz="0" w:space="0" w:color="auto"/>
      </w:divBdr>
    </w:div>
    <w:div w:id="1694917975">
      <w:bodyDiv w:val="1"/>
      <w:marLeft w:val="0"/>
      <w:marRight w:val="0"/>
      <w:marTop w:val="0"/>
      <w:marBottom w:val="0"/>
      <w:divBdr>
        <w:top w:val="none" w:sz="0" w:space="0" w:color="auto"/>
        <w:left w:val="none" w:sz="0" w:space="0" w:color="auto"/>
        <w:bottom w:val="none" w:sz="0" w:space="0" w:color="auto"/>
        <w:right w:val="none" w:sz="0" w:space="0" w:color="auto"/>
      </w:divBdr>
    </w:div>
    <w:div w:id="2070961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gi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gif"/><Relationship Id="rId17" Type="http://schemas.openxmlformats.org/officeDocument/2006/relationships/image" Target="media/image14.gif"/><Relationship Id="rId2" Type="http://schemas.openxmlformats.org/officeDocument/2006/relationships/settings" Target="settings.xml"/><Relationship Id="rId16" Type="http://schemas.openxmlformats.org/officeDocument/2006/relationships/image" Target="media/image13.gif"/><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gif"/><Relationship Id="rId15" Type="http://schemas.openxmlformats.org/officeDocument/2006/relationships/image" Target="media/image12.gif"/><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image" Target="media/image1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26</Pages>
  <Words>7541</Words>
  <Characters>42988</Characters>
  <Application>Microsoft Office Word</Application>
  <DocSecurity>0</DocSecurity>
  <Lines>358</Lines>
  <Paragraphs>100</Paragraphs>
  <ScaleCrop>false</ScaleCrop>
  <Company/>
  <LinksUpToDate>false</LinksUpToDate>
  <CharactersWithSpaces>50429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10</cp:revision>
  <dcterms:created xsi:type="dcterms:W3CDTF">2024-01-03T06:00:00Z</dcterms:created>
  <dcterms:modified xsi:type="dcterms:W3CDTF">2024-01-03T06:16:00Z</dcterms:modified>
</cp:coreProperties>
</file>